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174" w:type="dxa"/>
        <w:tblInd w:w="135" w:type="dxa"/>
        <w:tblLayout w:type="fixed"/>
        <w:tblCellMar>
          <w:top w:w="0" w:type="dxa"/>
          <w:left w:w="108" w:type="dxa"/>
          <w:bottom w:w="0" w:type="dxa"/>
          <w:right w:w="108" w:type="dxa"/>
        </w:tblCellMar>
      </w:tblPr>
      <w:tblGrid>
        <w:gridCol w:w="469"/>
        <w:gridCol w:w="1638"/>
        <w:gridCol w:w="1260"/>
        <w:gridCol w:w="2640"/>
        <w:gridCol w:w="6428"/>
        <w:gridCol w:w="1739"/>
      </w:tblGrid>
      <w:tr>
        <w:tblPrEx>
          <w:tblCellMar>
            <w:top w:w="0" w:type="dxa"/>
            <w:left w:w="108" w:type="dxa"/>
            <w:bottom w:w="0" w:type="dxa"/>
            <w:right w:w="108" w:type="dxa"/>
          </w:tblCellMar>
        </w:tblPrEx>
        <w:trPr>
          <w:trHeight w:val="833" w:hRule="atLeast"/>
        </w:trPr>
        <w:tc>
          <w:tcPr>
            <w:tcW w:w="4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黑体"/>
                <w:sz w:val="24"/>
              </w:rPr>
            </w:pPr>
            <w:bookmarkStart w:id="0" w:name="_GoBack"/>
            <w:bookmarkEnd w:id="0"/>
            <w:r>
              <w:rPr>
                <w:rFonts w:hint="eastAsia" w:ascii="宋体" w:hAnsi="宋体" w:eastAsia="黑体"/>
                <w:sz w:val="24"/>
              </w:rPr>
              <w:t>序号</w:t>
            </w:r>
          </w:p>
        </w:tc>
        <w:tc>
          <w:tcPr>
            <w:tcW w:w="1638"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黑体"/>
                <w:sz w:val="24"/>
              </w:rPr>
            </w:pPr>
            <w:r>
              <w:rPr>
                <w:rFonts w:hint="eastAsia" w:ascii="宋体" w:hAnsi="宋体" w:eastAsia="黑体"/>
                <w:sz w:val="24"/>
              </w:rPr>
              <w:t>单位名称</w:t>
            </w:r>
          </w:p>
        </w:tc>
        <w:tc>
          <w:tcPr>
            <w:tcW w:w="1260"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黑体"/>
                <w:sz w:val="24"/>
              </w:rPr>
            </w:pPr>
            <w:r>
              <w:rPr>
                <w:rFonts w:hint="eastAsia" w:ascii="宋体" w:hAnsi="宋体" w:eastAsia="黑体"/>
                <w:sz w:val="24"/>
              </w:rPr>
              <w:t>单位性质</w:t>
            </w:r>
          </w:p>
        </w:tc>
        <w:tc>
          <w:tcPr>
            <w:tcW w:w="2640"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黑体"/>
                <w:sz w:val="24"/>
              </w:rPr>
            </w:pPr>
            <w:r>
              <w:rPr>
                <w:rFonts w:hint="eastAsia" w:ascii="宋体" w:hAnsi="宋体" w:eastAsia="黑体"/>
                <w:sz w:val="24"/>
              </w:rPr>
              <w:t>单位地址</w:t>
            </w:r>
          </w:p>
        </w:tc>
        <w:tc>
          <w:tcPr>
            <w:tcW w:w="6428"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黑体"/>
                <w:sz w:val="24"/>
              </w:rPr>
            </w:pPr>
            <w:r>
              <w:rPr>
                <w:rFonts w:hint="eastAsia" w:ascii="宋体" w:hAnsi="宋体" w:eastAsia="黑体"/>
                <w:sz w:val="24"/>
              </w:rPr>
              <w:t>主要职能</w:t>
            </w:r>
          </w:p>
        </w:tc>
        <w:tc>
          <w:tcPr>
            <w:tcW w:w="1739"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黑体"/>
                <w:sz w:val="24"/>
              </w:rPr>
            </w:pPr>
            <w:r>
              <w:rPr>
                <w:rFonts w:hint="eastAsia" w:ascii="宋体" w:hAnsi="宋体" w:eastAsia="黑体"/>
                <w:sz w:val="24"/>
              </w:rPr>
              <w:t>联系电话</w:t>
            </w:r>
          </w:p>
        </w:tc>
      </w:tr>
      <w:tr>
        <w:tblPrEx>
          <w:tblCellMar>
            <w:top w:w="0" w:type="dxa"/>
            <w:left w:w="108" w:type="dxa"/>
            <w:bottom w:w="0" w:type="dxa"/>
            <w:right w:w="108" w:type="dxa"/>
          </w:tblCellMar>
        </w:tblPrEx>
        <w:trPr>
          <w:trHeight w:val="833" w:hRule="atLeast"/>
        </w:trPr>
        <w:tc>
          <w:tcPr>
            <w:tcW w:w="4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仿宋_GB2312" w:cs="仿宋_GB2312"/>
                <w:sz w:val="24"/>
              </w:rPr>
            </w:pPr>
            <w:r>
              <w:rPr>
                <w:rFonts w:ascii="宋体" w:hAnsi="宋体" w:eastAsia="仿宋_GB2312" w:cs="仿宋_GB2312"/>
                <w:sz w:val="24"/>
              </w:rPr>
              <w:t>1</w:t>
            </w:r>
          </w:p>
        </w:tc>
        <w:tc>
          <w:tcPr>
            <w:tcW w:w="1638"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hint="eastAsia" w:ascii="宋体" w:hAnsi="宋体" w:eastAsia="仿宋_GB2312" w:cs="仿宋_GB2312"/>
                <w:color w:val="000000"/>
                <w:sz w:val="20"/>
                <w:szCs w:val="20"/>
              </w:rPr>
              <w:t>射洪县人民医院</w:t>
            </w:r>
          </w:p>
        </w:tc>
        <w:tc>
          <w:tcPr>
            <w:tcW w:w="1260"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hint="eastAsia" w:ascii="宋体" w:hAnsi="宋体" w:eastAsia="仿宋_GB2312" w:cs="仿宋_GB2312"/>
                <w:color w:val="000000"/>
                <w:sz w:val="20"/>
                <w:szCs w:val="20"/>
              </w:rPr>
              <w:t>财政差额拨款事业单位</w:t>
            </w:r>
          </w:p>
        </w:tc>
        <w:tc>
          <w:tcPr>
            <w:tcW w:w="2640"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hint="eastAsia" w:ascii="宋体" w:hAnsi="宋体" w:eastAsia="仿宋_GB2312" w:cs="仿宋_GB2312"/>
                <w:color w:val="000000"/>
                <w:sz w:val="20"/>
                <w:szCs w:val="20"/>
              </w:rPr>
              <w:t>射洪县太和镇广寒路</w:t>
            </w:r>
            <w:r>
              <w:rPr>
                <w:rFonts w:ascii="宋体" w:hAnsi="宋体" w:eastAsia="仿宋_GB2312" w:cs="仿宋_GB2312"/>
                <w:color w:val="000000"/>
                <w:sz w:val="20"/>
                <w:szCs w:val="20"/>
              </w:rPr>
              <w:t>29</w:t>
            </w:r>
            <w:r>
              <w:rPr>
                <w:rFonts w:hint="eastAsia" w:ascii="宋体" w:hAnsi="宋体" w:eastAsia="仿宋_GB2312" w:cs="仿宋_GB2312"/>
                <w:color w:val="000000"/>
                <w:sz w:val="20"/>
                <w:szCs w:val="20"/>
              </w:rPr>
              <w:t>号</w:t>
            </w:r>
          </w:p>
        </w:tc>
        <w:tc>
          <w:tcPr>
            <w:tcW w:w="6428"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hint="eastAsia" w:ascii="宋体" w:hAnsi="宋体" w:eastAsia="仿宋_GB2312" w:cs="仿宋_GB2312"/>
                <w:color w:val="000000"/>
                <w:sz w:val="20"/>
                <w:szCs w:val="20"/>
              </w:rPr>
              <w:t>县人民医院作为县域内的医疗卫生、教学中心，主要负责以住院为主的基本医疗卫生服务及危重急症病人的抢救，并承担对乡镇卫生院、村卫生机构的业务技术指导和乡村卫生人员的进修培训。</w:t>
            </w:r>
          </w:p>
        </w:tc>
        <w:tc>
          <w:tcPr>
            <w:tcW w:w="1739"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ascii="宋体" w:hAnsi="宋体" w:eastAsia="仿宋_GB2312" w:cs="仿宋_GB2312"/>
                <w:color w:val="000000"/>
                <w:sz w:val="20"/>
                <w:szCs w:val="20"/>
              </w:rPr>
              <w:t>0825—6621105</w:t>
            </w:r>
          </w:p>
          <w:p>
            <w:pPr>
              <w:snapToGrid w:val="0"/>
              <w:rPr>
                <w:rFonts w:ascii="宋体" w:hAnsi="宋体" w:eastAsia="仿宋_GB2312" w:cs="仿宋_GB2312"/>
                <w:color w:val="000000"/>
                <w:sz w:val="20"/>
                <w:szCs w:val="20"/>
              </w:rPr>
            </w:pPr>
            <w:r>
              <w:rPr>
                <w:rFonts w:ascii="宋体" w:hAnsi="宋体" w:eastAsia="仿宋_GB2312" w:cs="仿宋_GB2312"/>
                <w:color w:val="000000"/>
                <w:sz w:val="20"/>
                <w:szCs w:val="20"/>
              </w:rPr>
              <w:t>0825—6630759</w:t>
            </w:r>
          </w:p>
        </w:tc>
      </w:tr>
      <w:tr>
        <w:tblPrEx>
          <w:tblCellMar>
            <w:top w:w="0" w:type="dxa"/>
            <w:left w:w="108" w:type="dxa"/>
            <w:bottom w:w="0" w:type="dxa"/>
            <w:right w:w="108" w:type="dxa"/>
          </w:tblCellMar>
        </w:tblPrEx>
        <w:trPr>
          <w:trHeight w:val="1178" w:hRule="atLeast"/>
        </w:trPr>
        <w:tc>
          <w:tcPr>
            <w:tcW w:w="46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仿宋_GB2312" w:cs="仿宋_GB2312"/>
                <w:sz w:val="24"/>
              </w:rPr>
            </w:pPr>
            <w:r>
              <w:rPr>
                <w:rFonts w:ascii="宋体" w:hAnsi="宋体" w:eastAsia="仿宋_GB2312" w:cs="仿宋_GB2312"/>
                <w:sz w:val="24"/>
              </w:rPr>
              <w:t>2</w:t>
            </w:r>
          </w:p>
        </w:tc>
        <w:tc>
          <w:tcPr>
            <w:tcW w:w="1638"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hint="eastAsia" w:ascii="宋体" w:hAnsi="宋体" w:eastAsia="仿宋_GB2312" w:cs="仿宋_GB2312"/>
                <w:color w:val="000000"/>
                <w:sz w:val="20"/>
                <w:szCs w:val="20"/>
              </w:rPr>
              <w:t>射洪县中医院</w:t>
            </w:r>
          </w:p>
        </w:tc>
        <w:tc>
          <w:tcPr>
            <w:tcW w:w="1260"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hint="eastAsia" w:ascii="宋体" w:hAnsi="宋体" w:eastAsia="仿宋_GB2312" w:cs="仿宋_GB2312"/>
                <w:color w:val="000000"/>
                <w:sz w:val="20"/>
                <w:szCs w:val="20"/>
              </w:rPr>
              <w:t>财政差额拨款事业单位</w:t>
            </w:r>
          </w:p>
        </w:tc>
        <w:tc>
          <w:tcPr>
            <w:tcW w:w="2640"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hint="eastAsia" w:ascii="宋体" w:hAnsi="宋体" w:eastAsia="仿宋_GB2312" w:cs="仿宋_GB2312"/>
                <w:color w:val="000000"/>
                <w:sz w:val="20"/>
                <w:szCs w:val="20"/>
              </w:rPr>
              <w:t>射洪县太和镇美丰大道中段</w:t>
            </w:r>
          </w:p>
        </w:tc>
        <w:tc>
          <w:tcPr>
            <w:tcW w:w="6428"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ascii="宋体" w:hAnsi="宋体" w:eastAsia="仿宋_GB2312" w:cs="仿宋_GB2312"/>
                <w:color w:val="000000"/>
                <w:sz w:val="20"/>
                <w:szCs w:val="20"/>
              </w:rPr>
              <w:t>1.</w:t>
            </w:r>
            <w:r>
              <w:rPr>
                <w:rFonts w:hint="eastAsia" w:ascii="宋体" w:hAnsi="宋体" w:eastAsia="仿宋_GB2312" w:cs="仿宋_GB2312"/>
                <w:color w:val="000000"/>
                <w:sz w:val="20"/>
                <w:szCs w:val="20"/>
              </w:rPr>
              <w:t>贯彻执行党和国家的医疗卫生工作方针政策，</w:t>
            </w:r>
            <w:r>
              <w:rPr>
                <w:rFonts w:ascii="宋体" w:hAnsi="宋体" w:eastAsia="仿宋_GB2312" w:cs="仿宋_GB2312"/>
                <w:color w:val="000000"/>
                <w:sz w:val="20"/>
                <w:szCs w:val="20"/>
              </w:rPr>
              <w:t xml:space="preserve"> 2.</w:t>
            </w:r>
            <w:r>
              <w:rPr>
                <w:rFonts w:hint="eastAsia" w:ascii="宋体" w:hAnsi="宋体" w:eastAsia="仿宋_GB2312" w:cs="仿宋_GB2312"/>
                <w:color w:val="000000"/>
                <w:sz w:val="20"/>
                <w:szCs w:val="20"/>
              </w:rPr>
              <w:t>做好医疗工作，救死扶伤，最大限度地满足人民群众对医疗服务的需求，完成门诊、急诊、住院病人的诊疗任务和临时性医疗救护任务。</w:t>
            </w:r>
            <w:r>
              <w:rPr>
                <w:rFonts w:ascii="宋体" w:hAnsi="宋体" w:eastAsia="仿宋_GB2312" w:cs="仿宋_GB2312"/>
                <w:color w:val="000000"/>
                <w:sz w:val="20"/>
                <w:szCs w:val="20"/>
              </w:rPr>
              <w:t>3.</w:t>
            </w:r>
            <w:r>
              <w:rPr>
                <w:rFonts w:hint="eastAsia" w:ascii="宋体" w:hAnsi="宋体" w:eastAsia="仿宋_GB2312" w:cs="仿宋_GB2312"/>
                <w:color w:val="000000"/>
                <w:sz w:val="20"/>
                <w:szCs w:val="20"/>
              </w:rPr>
              <w:t>指导基层医疗单位的中医药工作。</w:t>
            </w:r>
            <w:r>
              <w:rPr>
                <w:rFonts w:ascii="宋体" w:hAnsi="宋体" w:eastAsia="仿宋_GB2312" w:cs="仿宋_GB2312"/>
                <w:color w:val="000000"/>
                <w:sz w:val="20"/>
                <w:szCs w:val="20"/>
              </w:rPr>
              <w:t xml:space="preserve"> 4</w:t>
            </w:r>
            <w:r>
              <w:rPr>
                <w:rFonts w:hint="eastAsia" w:ascii="宋体" w:hAnsi="宋体" w:eastAsia="仿宋_GB2312" w:cs="仿宋_GB2312"/>
                <w:color w:val="000000"/>
                <w:sz w:val="20"/>
                <w:szCs w:val="20"/>
              </w:rPr>
              <w:t>贯彻国家中医政策，积极发展中医中药和中西医结合事业。</w:t>
            </w:r>
          </w:p>
        </w:tc>
        <w:tc>
          <w:tcPr>
            <w:tcW w:w="1739"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ascii="宋体" w:hAnsi="宋体" w:eastAsia="仿宋_GB2312" w:cs="仿宋_GB2312"/>
                <w:color w:val="000000"/>
                <w:sz w:val="20"/>
                <w:szCs w:val="20"/>
              </w:rPr>
              <w:t>0825-6661782</w:t>
            </w:r>
          </w:p>
          <w:p>
            <w:pPr>
              <w:snapToGrid w:val="0"/>
              <w:rPr>
                <w:rFonts w:ascii="宋体" w:hAnsi="宋体" w:eastAsia="仿宋_GB2312" w:cs="仿宋_GB2312"/>
                <w:color w:val="000000"/>
                <w:sz w:val="20"/>
                <w:szCs w:val="20"/>
              </w:rPr>
            </w:pPr>
            <w:r>
              <w:rPr>
                <w:rFonts w:ascii="宋体" w:hAnsi="宋体" w:eastAsia="仿宋_GB2312" w:cs="仿宋_GB2312"/>
                <w:color w:val="000000"/>
                <w:sz w:val="20"/>
                <w:szCs w:val="20"/>
              </w:rPr>
              <w:t>0825-6661852</w:t>
            </w:r>
          </w:p>
        </w:tc>
      </w:tr>
      <w:tr>
        <w:tblPrEx>
          <w:tblCellMar>
            <w:top w:w="0" w:type="dxa"/>
            <w:left w:w="108" w:type="dxa"/>
            <w:bottom w:w="0" w:type="dxa"/>
            <w:right w:w="108" w:type="dxa"/>
          </w:tblCellMar>
        </w:tblPrEx>
        <w:trPr>
          <w:trHeight w:val="1274" w:hRule="atLeast"/>
        </w:trPr>
        <w:tc>
          <w:tcPr>
            <w:tcW w:w="46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rPr>
            </w:pPr>
            <w:r>
              <w:rPr>
                <w:rFonts w:hint="eastAsia" w:ascii="仿宋_GB2312" w:hAnsi="仿宋_GB2312" w:eastAsia="仿宋_GB2312" w:cs="仿宋_GB2312"/>
                <w:sz w:val="24"/>
              </w:rPr>
              <w:t>3</w:t>
            </w:r>
          </w:p>
        </w:tc>
        <w:tc>
          <w:tcPr>
            <w:tcW w:w="1638"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射洪县疾控中心</w:t>
            </w:r>
          </w:p>
        </w:tc>
        <w:tc>
          <w:tcPr>
            <w:tcW w:w="1260"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财政差额拨款事业单位</w:t>
            </w:r>
          </w:p>
        </w:tc>
        <w:tc>
          <w:tcPr>
            <w:tcW w:w="2640"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射洪县太和镇城南武安河中段</w:t>
            </w:r>
          </w:p>
        </w:tc>
        <w:tc>
          <w:tcPr>
            <w:tcW w:w="6428"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w:t>
            </w:r>
            <w:r>
              <w:rPr>
                <w:rFonts w:hint="eastAsia" w:ascii="仿宋_GB2312" w:hAnsi="仿宋_GB2312" w:eastAsia="仿宋_GB2312" w:cs="仿宋_GB2312"/>
                <w:color w:val="000000"/>
                <w:sz w:val="20"/>
                <w:szCs w:val="20"/>
              </w:rPr>
              <w:t>、完成上级下达的疾病预防控制任务，负责县内疾病预防控制工作的管理和落实；负责疫苗使用管理，组织实施免疫、消毒、控制病媒生物的危害。</w:t>
            </w:r>
            <w:r>
              <w:rPr>
                <w:rFonts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rPr>
              <w:t>、负责县内突发公共卫生事件的监测调查与信息收集、报告，落实具体控制措施。</w:t>
            </w:r>
            <w:r>
              <w:rPr>
                <w:rFonts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rPr>
              <w:t>、开展病原微生物常规检验和常见污染物的检验。</w:t>
            </w:r>
            <w:r>
              <w:rPr>
                <w:rFonts w:ascii="仿宋_GB2312" w:hAnsi="仿宋_GB2312" w:eastAsia="仿宋_GB2312" w:cs="仿宋_GB2312"/>
                <w:color w:val="000000"/>
                <w:sz w:val="20"/>
                <w:szCs w:val="20"/>
              </w:rPr>
              <w:t>4</w:t>
            </w:r>
            <w:r>
              <w:rPr>
                <w:rFonts w:hint="eastAsia" w:ascii="仿宋_GB2312" w:hAnsi="仿宋_GB2312" w:eastAsia="仿宋_GB2312" w:cs="仿宋_GB2312"/>
                <w:color w:val="000000"/>
                <w:sz w:val="20"/>
                <w:szCs w:val="20"/>
              </w:rPr>
              <w:t>、承担卫生行政部门委托的与卫生监督执法相关的检验检测任务等。</w:t>
            </w:r>
          </w:p>
        </w:tc>
        <w:tc>
          <w:tcPr>
            <w:tcW w:w="1739"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ascii="宋体" w:hAnsi="宋体" w:eastAsia="仿宋_GB2312" w:cs="仿宋_GB2312"/>
                <w:color w:val="000000"/>
                <w:sz w:val="20"/>
                <w:szCs w:val="20"/>
              </w:rPr>
              <w:t>0825-6625184</w:t>
            </w:r>
          </w:p>
        </w:tc>
      </w:tr>
      <w:tr>
        <w:tblPrEx>
          <w:tblCellMar>
            <w:top w:w="0" w:type="dxa"/>
            <w:left w:w="108" w:type="dxa"/>
            <w:bottom w:w="0" w:type="dxa"/>
            <w:right w:w="108" w:type="dxa"/>
          </w:tblCellMar>
        </w:tblPrEx>
        <w:trPr>
          <w:trHeight w:val="1274" w:hRule="atLeast"/>
        </w:trPr>
        <w:tc>
          <w:tcPr>
            <w:tcW w:w="46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仿宋_GB2312" w:cs="仿宋_GB2312"/>
                <w:sz w:val="24"/>
              </w:rPr>
            </w:pPr>
            <w:r>
              <w:rPr>
                <w:rFonts w:hint="eastAsia" w:ascii="宋体" w:hAnsi="宋体" w:eastAsia="仿宋_GB2312" w:cs="仿宋_GB2312"/>
                <w:sz w:val="24"/>
              </w:rPr>
              <w:t>4</w:t>
            </w:r>
          </w:p>
        </w:tc>
        <w:tc>
          <w:tcPr>
            <w:tcW w:w="1638" w:type="dxa"/>
            <w:tcBorders>
              <w:top w:val="single" w:color="auto" w:sz="4" w:space="0"/>
              <w:left w:val="nil"/>
              <w:bottom w:val="single" w:color="auto" w:sz="4" w:space="0"/>
              <w:right w:val="single" w:color="auto" w:sz="4" w:space="0"/>
            </w:tcBorders>
            <w:vAlign w:val="center"/>
          </w:tcPr>
          <w:p>
            <w:pPr>
              <w:widowControl/>
              <w:snapToGrid w:val="0"/>
              <w:rPr>
                <w:rFonts w:ascii="宋体" w:hAnsi="宋体" w:eastAsia="仿宋_GB2312" w:cs="仿宋_GB2312"/>
                <w:color w:val="000000"/>
                <w:sz w:val="20"/>
                <w:szCs w:val="20"/>
              </w:rPr>
            </w:pPr>
            <w:r>
              <w:rPr>
                <w:rFonts w:hint="eastAsia" w:ascii="宋体" w:hAnsi="宋体" w:eastAsia="仿宋_GB2312" w:cs="仿宋_GB2312"/>
                <w:color w:val="000000"/>
                <w:sz w:val="20"/>
                <w:szCs w:val="20"/>
              </w:rPr>
              <w:t>射洪县妇幼保健院</w:t>
            </w:r>
          </w:p>
        </w:tc>
        <w:tc>
          <w:tcPr>
            <w:tcW w:w="1260"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hint="eastAsia" w:ascii="宋体" w:hAnsi="宋体" w:eastAsia="仿宋_GB2312" w:cs="仿宋_GB2312"/>
                <w:color w:val="000000"/>
                <w:sz w:val="20"/>
                <w:szCs w:val="20"/>
              </w:rPr>
              <w:t>财政差额拨款事业单位</w:t>
            </w:r>
          </w:p>
        </w:tc>
        <w:tc>
          <w:tcPr>
            <w:tcW w:w="2640"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hint="eastAsia" w:ascii="宋体" w:hAnsi="宋体" w:eastAsia="仿宋_GB2312" w:cs="仿宋_GB2312"/>
                <w:color w:val="000000"/>
                <w:sz w:val="20"/>
                <w:szCs w:val="20"/>
              </w:rPr>
              <w:t>射洪县太和镇太和大道北段</w:t>
            </w:r>
            <w:r>
              <w:rPr>
                <w:rFonts w:ascii="宋体" w:hAnsi="宋体" w:eastAsia="仿宋_GB2312" w:cs="仿宋_GB2312"/>
                <w:color w:val="000000"/>
                <w:sz w:val="20"/>
                <w:szCs w:val="20"/>
              </w:rPr>
              <w:t>28</w:t>
            </w:r>
            <w:r>
              <w:rPr>
                <w:rFonts w:hint="eastAsia" w:ascii="宋体" w:hAnsi="宋体" w:eastAsia="仿宋_GB2312" w:cs="仿宋_GB2312"/>
                <w:color w:val="000000"/>
                <w:sz w:val="20"/>
                <w:szCs w:val="20"/>
              </w:rPr>
              <w:t>号</w:t>
            </w:r>
          </w:p>
        </w:tc>
        <w:tc>
          <w:tcPr>
            <w:tcW w:w="6428"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ascii="宋体" w:hAnsi="宋体" w:eastAsia="仿宋_GB2312" w:cs="仿宋_GB2312"/>
                <w:color w:val="000000"/>
                <w:sz w:val="20"/>
                <w:szCs w:val="20"/>
              </w:rPr>
              <w:t>1.</w:t>
            </w:r>
            <w:r>
              <w:rPr>
                <w:rFonts w:hint="eastAsia" w:ascii="宋体" w:hAnsi="宋体" w:eastAsia="仿宋_GB2312" w:cs="仿宋_GB2312"/>
                <w:color w:val="000000"/>
                <w:sz w:val="20"/>
                <w:szCs w:val="20"/>
              </w:rPr>
              <w:t>贯彻落实国家《母婴保健法》和《中国妇女发展纲要》、《中国儿童发展纲要》工作目标和妇幼卫生工作法规</w:t>
            </w:r>
            <w:r>
              <w:rPr>
                <w:rFonts w:ascii="宋体" w:hAnsi="宋体" w:eastAsia="仿宋_GB2312" w:cs="仿宋_GB2312"/>
                <w:color w:val="000000"/>
                <w:sz w:val="20"/>
                <w:szCs w:val="20"/>
              </w:rPr>
              <w:t>2</w:t>
            </w:r>
            <w:r>
              <w:rPr>
                <w:rFonts w:hint="eastAsia" w:ascii="宋体" w:hAnsi="宋体" w:eastAsia="仿宋_GB2312" w:cs="仿宋_GB2312"/>
                <w:color w:val="000000"/>
                <w:sz w:val="20"/>
                <w:szCs w:val="20"/>
              </w:rPr>
              <w:t>；承担本地区妇产科、儿科、计划生育危重症抢救及出诊、接诊、会诊任务；</w:t>
            </w:r>
            <w:r>
              <w:rPr>
                <w:rFonts w:ascii="宋体" w:hAnsi="宋体" w:eastAsia="仿宋_GB2312" w:cs="仿宋_GB2312"/>
                <w:color w:val="000000"/>
                <w:sz w:val="20"/>
                <w:szCs w:val="20"/>
              </w:rPr>
              <w:t>3.</w:t>
            </w:r>
            <w:r>
              <w:rPr>
                <w:rFonts w:hint="eastAsia" w:ascii="宋体" w:hAnsi="宋体" w:eastAsia="仿宋_GB2312" w:cs="仿宋_GB2312"/>
                <w:color w:val="000000"/>
                <w:sz w:val="20"/>
                <w:szCs w:val="20"/>
              </w:rPr>
              <w:t>推广和应用妇幼保健实用新技术；搞好全县各医疗机构妇幼卫生工作指导和基层妇幼保健从业人员技术培训等。</w:t>
            </w:r>
          </w:p>
        </w:tc>
        <w:tc>
          <w:tcPr>
            <w:tcW w:w="1739" w:type="dxa"/>
            <w:tcBorders>
              <w:top w:val="single" w:color="auto" w:sz="4" w:space="0"/>
              <w:left w:val="nil"/>
              <w:bottom w:val="single" w:color="auto" w:sz="4" w:space="0"/>
              <w:right w:val="single" w:color="auto" w:sz="4" w:space="0"/>
            </w:tcBorders>
            <w:vAlign w:val="center"/>
          </w:tcPr>
          <w:p>
            <w:pPr>
              <w:snapToGrid w:val="0"/>
              <w:rPr>
                <w:rFonts w:ascii="宋体" w:hAnsi="宋体" w:eastAsia="仿宋_GB2312" w:cs="仿宋_GB2312"/>
                <w:color w:val="000000"/>
                <w:sz w:val="20"/>
                <w:szCs w:val="20"/>
              </w:rPr>
            </w:pPr>
            <w:r>
              <w:rPr>
                <w:rFonts w:ascii="宋体" w:hAnsi="宋体" w:eastAsia="仿宋_GB2312" w:cs="仿宋_GB2312"/>
                <w:color w:val="000000"/>
                <w:sz w:val="20"/>
                <w:szCs w:val="20"/>
              </w:rPr>
              <w:t>0825—6634015</w:t>
            </w:r>
          </w:p>
        </w:tc>
      </w:tr>
      <w:tr>
        <w:tblPrEx>
          <w:tblCellMar>
            <w:top w:w="0" w:type="dxa"/>
            <w:left w:w="108" w:type="dxa"/>
            <w:bottom w:w="0" w:type="dxa"/>
            <w:right w:w="108" w:type="dxa"/>
          </w:tblCellMar>
        </w:tblPrEx>
        <w:trPr>
          <w:trHeight w:val="1274" w:hRule="atLeast"/>
        </w:trPr>
        <w:tc>
          <w:tcPr>
            <w:tcW w:w="46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rPr>
            </w:pPr>
            <w:r>
              <w:rPr>
                <w:rFonts w:hint="eastAsia" w:ascii="仿宋_GB2312" w:hAnsi="仿宋_GB2312" w:eastAsia="仿宋_GB2312" w:cs="仿宋_GB2312"/>
                <w:sz w:val="24"/>
              </w:rPr>
              <w:t>5</w:t>
            </w:r>
          </w:p>
        </w:tc>
        <w:tc>
          <w:tcPr>
            <w:tcW w:w="1638" w:type="dxa"/>
            <w:tcBorders>
              <w:top w:val="single" w:color="auto" w:sz="4" w:space="0"/>
              <w:left w:val="nil"/>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0"/>
                <w:szCs w:val="20"/>
              </w:rPr>
            </w:pPr>
            <w:r>
              <w:rPr>
                <w:rFonts w:hint="eastAsia" w:ascii="宋体" w:hAnsi="宋体" w:eastAsia="仿宋_GB2312" w:cs="仿宋_GB2312"/>
                <w:color w:val="000000"/>
                <w:sz w:val="20"/>
                <w:szCs w:val="20"/>
              </w:rPr>
              <w:t>射洪县乡镇卫生院</w:t>
            </w:r>
          </w:p>
        </w:tc>
        <w:tc>
          <w:tcPr>
            <w:tcW w:w="1260"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宋体" w:hAnsi="宋体" w:eastAsia="仿宋_GB2312" w:cs="仿宋_GB2312"/>
                <w:color w:val="000000"/>
                <w:sz w:val="20"/>
                <w:szCs w:val="20"/>
              </w:rPr>
              <w:t>财政差额拨款事业单位</w:t>
            </w:r>
          </w:p>
        </w:tc>
        <w:tc>
          <w:tcPr>
            <w:tcW w:w="2640"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宋体" w:hAnsi="宋体" w:eastAsia="仿宋_GB2312" w:cs="仿宋_GB2312"/>
                <w:color w:val="000000"/>
                <w:sz w:val="20"/>
                <w:szCs w:val="20"/>
              </w:rPr>
              <w:t>射洪县</w:t>
            </w:r>
          </w:p>
        </w:tc>
        <w:tc>
          <w:tcPr>
            <w:tcW w:w="6428"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ascii="宋体" w:hAnsi="宋体" w:eastAsia="仿宋_GB2312" w:cs="仿宋_GB2312"/>
                <w:color w:val="000000"/>
                <w:sz w:val="20"/>
                <w:szCs w:val="20"/>
              </w:rPr>
              <w:t>1.</w:t>
            </w:r>
            <w:r>
              <w:rPr>
                <w:rFonts w:hint="eastAsia" w:ascii="宋体" w:hAnsi="宋体" w:eastAsia="仿宋_GB2312" w:cs="仿宋_GB2312"/>
                <w:color w:val="000000"/>
                <w:sz w:val="20"/>
                <w:szCs w:val="20"/>
              </w:rPr>
              <w:t>负责提供公共卫生服务和常见病、多发病的诊疗等综合服务，并承担小乡镇卫生院、村卫生室的业务管理和技术指导等工作。</w:t>
            </w:r>
            <w:r>
              <w:rPr>
                <w:rFonts w:ascii="宋体" w:hAnsi="宋体" w:eastAsia="仿宋_GB2312" w:cs="仿宋_GB2312"/>
                <w:color w:val="000000"/>
                <w:sz w:val="20"/>
                <w:szCs w:val="20"/>
              </w:rPr>
              <w:t>2.</w:t>
            </w:r>
            <w:r>
              <w:rPr>
                <w:rFonts w:hint="eastAsia" w:ascii="宋体" w:hAnsi="宋体" w:eastAsia="仿宋_GB2312" w:cs="仿宋_GB2312"/>
                <w:color w:val="000000"/>
                <w:sz w:val="20"/>
                <w:szCs w:val="20"/>
              </w:rPr>
              <w:t>负责农村居民的健康教育、健康行为培训等工作，是乡村公共卫生工作的枢纽，它在乡村承担着政府的卫生行政管理职能，是农村疾病控制的中心，是农村初级卫生保健的核心，是农村社区卫生服务的指导中心。</w:t>
            </w:r>
          </w:p>
        </w:tc>
        <w:tc>
          <w:tcPr>
            <w:tcW w:w="1739"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ascii="宋体" w:hAnsi="宋体" w:eastAsia="仿宋_GB2312" w:cs="仿宋_GB2312"/>
                <w:color w:val="000000"/>
                <w:sz w:val="20"/>
                <w:szCs w:val="20"/>
              </w:rPr>
              <w:t>0825—6622614</w:t>
            </w:r>
          </w:p>
        </w:tc>
      </w:tr>
    </w:tbl>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napToGrid w:val="0"/>
      <w:jc w:val="left"/>
      <w:rPr>
        <w:rFonts w:ascii="宋体" w:hAnsi="宋体" w:eastAsia="黑体" w:cs="黑体"/>
        <w:color w:val="000000"/>
        <w:kern w:val="0"/>
        <w:sz w:val="28"/>
        <w:szCs w:val="28"/>
      </w:rPr>
    </w:pPr>
    <w:r>
      <w:rPr>
        <w:rFonts w:hint="eastAsia" w:ascii="宋体" w:hAnsi="宋体" w:eastAsia="黑体" w:cs="黑体"/>
        <w:color w:val="000000"/>
        <w:kern w:val="0"/>
        <w:sz w:val="28"/>
        <w:szCs w:val="28"/>
      </w:rPr>
      <w:t>附件</w:t>
    </w:r>
    <w:r>
      <w:rPr>
        <w:rFonts w:ascii="宋体" w:hAnsi="宋体" w:eastAsia="黑体" w:cs="黑体"/>
        <w:color w:val="000000"/>
        <w:kern w:val="0"/>
        <w:sz w:val="28"/>
        <w:szCs w:val="28"/>
      </w:rPr>
      <w:t>1</w:t>
    </w:r>
    <w:r>
      <w:rPr>
        <w:rFonts w:hint="eastAsia" w:ascii="宋体" w:hAnsi="宋体" w:eastAsia="黑体" w:cs="黑体"/>
        <w:color w:val="000000"/>
        <w:kern w:val="0"/>
        <w:sz w:val="28"/>
        <w:szCs w:val="28"/>
      </w:rPr>
      <w:t>：</w:t>
    </w:r>
  </w:p>
  <w:p>
    <w:pPr>
      <w:widowControl/>
      <w:snapToGrid w:val="0"/>
      <w:jc w:val="center"/>
      <w:rPr>
        <w:rFonts w:ascii="宋体" w:hAnsi="宋体" w:eastAsia="方正小标宋简体"/>
        <w:color w:val="000000"/>
        <w:kern w:val="0"/>
        <w:sz w:val="36"/>
        <w:szCs w:val="36"/>
      </w:rPr>
    </w:pPr>
    <w:r>
      <w:rPr>
        <w:rFonts w:ascii="宋体" w:hAnsi="宋体" w:eastAsia="方正小标宋简体"/>
        <w:color w:val="000000"/>
        <w:kern w:val="0"/>
        <w:sz w:val="36"/>
        <w:szCs w:val="36"/>
      </w:rPr>
      <w:t>201</w:t>
    </w:r>
    <w:r>
      <w:rPr>
        <w:rFonts w:hint="eastAsia" w:ascii="宋体" w:hAnsi="宋体" w:eastAsia="方正小标宋简体"/>
        <w:color w:val="000000"/>
        <w:kern w:val="0"/>
        <w:sz w:val="36"/>
        <w:szCs w:val="36"/>
      </w:rPr>
      <w:t>9年射洪县部分卫生事业单位公开考核招聘工作人员事业单位基本信息一览表</w:t>
    </w: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DA"/>
    <w:rsid w:val="00294580"/>
    <w:rsid w:val="004C23C7"/>
    <w:rsid w:val="00843DDA"/>
    <w:rsid w:val="00B62063"/>
    <w:rsid w:val="00EA0626"/>
    <w:rsid w:val="6FFD5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semiHidden/>
    <w:unhideWhenUsed/>
    <w:uiPriority w:val="99"/>
    <w:pPr>
      <w:spacing w:after="120"/>
    </w:p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semiHidden/>
    <w:uiPriority w:val="99"/>
    <w:rPr>
      <w:rFonts w:ascii="Calibri" w:hAnsi="Calibri" w:eastAsia="宋体" w:cs="Times New Roman"/>
      <w:szCs w:val="24"/>
    </w:rPr>
  </w:style>
  <w:style w:type="character" w:customStyle="1" w:styleId="8">
    <w:name w:val="页眉 Char"/>
    <w:basedOn w:val="6"/>
    <w:link w:val="4"/>
    <w:semiHidden/>
    <w:qFormat/>
    <w:uiPriority w:val="99"/>
    <w:rPr>
      <w:rFonts w:ascii="Calibri" w:hAnsi="Calibri" w:eastAsia="宋体" w:cs="Times New Roman"/>
      <w:sz w:val="18"/>
      <w:szCs w:val="18"/>
    </w:rPr>
  </w:style>
  <w:style w:type="character" w:customStyle="1" w:styleId="9">
    <w:name w:val="页脚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142</Words>
  <Characters>815</Characters>
  <Lines>6</Lines>
  <Paragraphs>1</Paragraphs>
  <TotalTime>1</TotalTime>
  <ScaleCrop>false</ScaleCrop>
  <LinksUpToDate>false</LinksUpToDate>
  <CharactersWithSpaces>956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2019-10-31T09:32:00Z</dcterms:created>
  <dc:creator>微软用户</dc:creator>
  <cp:lastModifiedBy>张翠</cp:lastModifiedBy>
  <dcterms:modified xsi:type="dcterms:W3CDTF">2019-11-01T01:33:56Z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