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2"/>
          <w:szCs w:val="22"/>
          <w:bdr w:val="none" w:color="auto" w:sz="0" w:space="0"/>
          <w:shd w:val="clear" w:fill="FFFFFF"/>
          <w:lang w:val="en-US" w:eastAsia="zh-CN" w:bidi="ar"/>
        </w:rPr>
        <w:t>招聘单位基本情况</w:t>
      </w:r>
    </w:p>
    <w:tbl>
      <w:tblPr>
        <w:tblW w:w="18259" w:type="dxa"/>
        <w:tblInd w:w="0" w:type="dxa"/>
        <w:shd w:val="clear" w:color="auto" w:fill="FFFFFF"/>
        <w:tblLayout w:type="fixed"/>
        <w:tblCellMar>
          <w:top w:w="0" w:type="dxa"/>
          <w:left w:w="0" w:type="dxa"/>
          <w:bottom w:w="0" w:type="dxa"/>
          <w:right w:w="0" w:type="dxa"/>
        </w:tblCellMar>
      </w:tblPr>
      <w:tblGrid>
        <w:gridCol w:w="1080"/>
        <w:gridCol w:w="1080"/>
        <w:gridCol w:w="1080"/>
        <w:gridCol w:w="15019"/>
      </w:tblGrid>
      <w:tr>
        <w:tblPrEx>
          <w:shd w:val="clear" w:color="auto" w:fill="FFFFFF"/>
          <w:tblLayout w:type="fixed"/>
          <w:tblCellMar>
            <w:top w:w="0" w:type="dxa"/>
            <w:left w:w="0" w:type="dxa"/>
            <w:bottom w:w="0" w:type="dxa"/>
            <w:right w:w="0" w:type="dxa"/>
          </w:tblCellMar>
        </w:tblPrEx>
        <w:tc>
          <w:tcPr>
            <w:tcW w:w="10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00"/>
                <w:spacing w:val="0"/>
                <w:kern w:val="0"/>
                <w:sz w:val="20"/>
                <w:szCs w:val="20"/>
                <w:bdr w:val="none" w:color="auto" w:sz="0" w:space="0"/>
                <w:lang w:val="en-US" w:eastAsia="zh-CN" w:bidi="ar"/>
              </w:rPr>
              <w:t>单位名称</w:t>
            </w:r>
          </w:p>
        </w:tc>
        <w:tc>
          <w:tcPr>
            <w:tcW w:w="10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00"/>
                <w:spacing w:val="0"/>
                <w:kern w:val="0"/>
                <w:sz w:val="20"/>
                <w:szCs w:val="20"/>
                <w:bdr w:val="none" w:color="auto" w:sz="0" w:space="0"/>
                <w:lang w:val="en-US" w:eastAsia="zh-CN" w:bidi="ar"/>
              </w:rPr>
              <w:t>单位性质</w:t>
            </w:r>
          </w:p>
        </w:tc>
        <w:tc>
          <w:tcPr>
            <w:tcW w:w="10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00"/>
                <w:spacing w:val="0"/>
                <w:kern w:val="0"/>
                <w:sz w:val="20"/>
                <w:szCs w:val="20"/>
                <w:bdr w:val="none" w:color="auto" w:sz="0" w:space="0"/>
                <w:lang w:val="en-US" w:eastAsia="zh-CN" w:bidi="ar"/>
              </w:rPr>
              <w:t>单位地址</w:t>
            </w:r>
          </w:p>
        </w:tc>
        <w:tc>
          <w:tcPr>
            <w:tcW w:w="150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00"/>
                <w:spacing w:val="0"/>
                <w:kern w:val="0"/>
                <w:sz w:val="20"/>
                <w:szCs w:val="20"/>
                <w:bdr w:val="none" w:color="auto" w:sz="0" w:space="0"/>
                <w:lang w:val="en-US" w:eastAsia="zh-CN" w:bidi="ar"/>
              </w:rPr>
              <w:t>医院级别及主要职能</w:t>
            </w:r>
          </w:p>
        </w:tc>
      </w:tr>
      <w:tr>
        <w:tblPrEx>
          <w:shd w:val="clear" w:color="auto" w:fill="FFFFFF"/>
          <w:tblLayout w:type="fixed"/>
          <w:tblCellMar>
            <w:top w:w="0" w:type="dxa"/>
            <w:left w:w="0" w:type="dxa"/>
            <w:bottom w:w="0" w:type="dxa"/>
            <w:right w:w="0" w:type="dxa"/>
          </w:tblCellMar>
        </w:tblPrEx>
        <w:tc>
          <w:tcPr>
            <w:tcW w:w="10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00"/>
                <w:spacing w:val="0"/>
                <w:kern w:val="0"/>
                <w:sz w:val="20"/>
                <w:szCs w:val="20"/>
                <w:bdr w:val="none" w:color="auto" w:sz="0" w:space="0"/>
                <w:lang w:val="en-US" w:eastAsia="zh-CN" w:bidi="ar"/>
              </w:rPr>
              <w:t>四川绵阳四〇四医院</w:t>
            </w:r>
          </w:p>
        </w:tc>
        <w:tc>
          <w:tcPr>
            <w:tcW w:w="10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00"/>
                <w:spacing w:val="0"/>
                <w:kern w:val="0"/>
                <w:sz w:val="20"/>
                <w:szCs w:val="20"/>
                <w:bdr w:val="none" w:color="auto" w:sz="0" w:space="0"/>
                <w:lang w:val="en-US" w:eastAsia="zh-CN" w:bidi="ar"/>
              </w:rPr>
              <w:t>事业单位</w:t>
            </w:r>
          </w:p>
        </w:tc>
        <w:tc>
          <w:tcPr>
            <w:tcW w:w="10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00"/>
                <w:spacing w:val="0"/>
                <w:kern w:val="0"/>
                <w:sz w:val="20"/>
                <w:szCs w:val="20"/>
                <w:bdr w:val="none" w:color="auto" w:sz="0" w:space="0"/>
                <w:lang w:val="en-US" w:eastAsia="zh-CN" w:bidi="ar"/>
              </w:rPr>
              <w:t>绵阳市涪城区跃进路56号</w:t>
            </w:r>
          </w:p>
        </w:tc>
        <w:tc>
          <w:tcPr>
            <w:tcW w:w="150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四川绵阳四〇四医院是集医疗、教学、科研、急救、康复、预防、保健为一体的国家三级甲等综合医院，系川北医学院附属第二医院、绵阳市红十字医院、绵阳市传染病医院，是多所高等院校临床教学基地，中国基层医师心血管疾病培训示范中心，专科医师规范化培训基地，住院医师培训基地，省内首家医院院士工作站，省内首批国务院重大疾病救助四川省农村儿童先天性心脏病定点救助医院，先天性结构畸形定点救助医院。拥有“全国肝炎防治健康教育计划实施基地”、“全国中医药防治传染病临床基地”、“中国卒中中心联盟成员单位”、“全国首批房颤中心建设单位”、“绵阳市心血管疾病研究所”、“绵阳市心血管疾病防治中心”、“绵阳市消化疾病防治中心”、“绵阳市传染病防治中心”、“绵阳市危重孕产妇救治中心”、“绵阳市危重新生儿救治中心”、“西京消化病医院绵阳整合医学中心”、“四川省胃癌外科临床研究协作组”等四川省内乃至西部地区独具规模的专业技术品牌。秉承“患者满意第一、社会效益至上</w:t>
            </w:r>
            <w:r>
              <w:rPr>
                <w:rFonts w:hint="eastAsia" w:ascii="宋体" w:hAnsi="宋体" w:eastAsia="宋体" w:cs="宋体"/>
                <w:i w:val="0"/>
                <w:caps w:val="0"/>
                <w:color w:val="000000"/>
                <w:spacing w:val="0"/>
                <w:kern w:val="0"/>
                <w:sz w:val="20"/>
                <w:szCs w:val="20"/>
                <w:bdr w:val="none" w:color="auto" w:sz="0" w:space="0"/>
                <w:lang w:val="en-US" w:eastAsia="zh-CN" w:bidi="ar"/>
              </w:rPr>
              <w:t>”的服务宗</w:t>
            </w:r>
            <w:r>
              <w:rPr>
                <w:rFonts w:hint="eastAsia" w:ascii="宋体" w:hAnsi="宋体" w:eastAsia="宋体" w:cs="宋体"/>
                <w:i w:val="0"/>
                <w:caps w:val="0"/>
                <w:color w:val="000000"/>
                <w:spacing w:val="0"/>
                <w:kern w:val="0"/>
                <w:sz w:val="18"/>
                <w:szCs w:val="18"/>
                <w:bdr w:val="none" w:color="auto" w:sz="0" w:space="0"/>
                <w:lang w:val="en-US" w:eastAsia="zh-CN" w:bidi="ar"/>
              </w:rPr>
              <w:t>旨，旨在为广大百姓提供优质的医疗服务。</w:t>
            </w:r>
          </w:p>
        </w:tc>
      </w:tr>
    </w:tbl>
    <w:p>
      <w:bookmarkStart w:id="0" w:name="_GoBack"/>
      <w:bookmarkEnd w:id="0"/>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F03A0F"/>
    <w:rsid w:val="19F03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2019-11-04T08:45:00Z</dcterms:created>
  <dc:creator>Administrator</dc:creator>
  <cp:lastModifiedBy>Administrator</cp:lastModifiedBy>
  <dcterms:modified xsi:type="dcterms:W3CDTF">2019-11-04T08:47:21Z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