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shd w:val="clear" w:fill="FFFFFF"/>
        </w:rPr>
        <w:t>宁波城市职业技术学院招聘单位、岗位、人数、专业、学历学位和范围及资格条件</w:t>
      </w:r>
    </w:p>
    <w:bookmarkEnd w:id="0"/>
    <w:tbl>
      <w:tblPr>
        <w:tblW w:w="97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09"/>
        <w:gridCol w:w="426"/>
        <w:gridCol w:w="1986"/>
        <w:gridCol w:w="1839"/>
        <w:gridCol w:w="710"/>
        <w:gridCol w:w="32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岗位类别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岗位职责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招聘专业及学历（学位）要求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招聘范围</w:t>
            </w:r>
          </w:p>
        </w:tc>
        <w:tc>
          <w:tcPr>
            <w:tcW w:w="3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承担计算机应用技术、计算机网络技术专业教学、科研及服务等工作；参与专业和教学团队建设。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计算机科学与技术（含计算机技术）、软件工程类专业；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1、历届生年龄要求35周岁及以下，并具有3年及以上计算机相关企业工作经历；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2、2020年全日制普通高校应届毕业生。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承担法语专业教学、科研及服务工作；参与法语专业与团队建设；承担小语种中心团队建设工作。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法语类专业；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1、历届生年龄要求35周岁以下；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2、含2020年全日制普通高校应届毕业生。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承担园林工程类专业教学、科研及服务等工作；参与相关实验室建设与维护等工作。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风景园林类专业；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1、历届生年龄要求35周岁以下；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2、含2020年全日制普通高校应届毕业生。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承担金融管理、投资理财专业教学、科研及服务等工作；参与专业和教学团队建设。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金融类专业，本科专业为经济学或管理学类；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1、历届生年龄要求35周岁以下；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2、含2020年全日制普通高校应届毕业生。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承担会计专业教学、科研及服务等工作；参与专业和教学团队建设。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会计类专业，本科专业为经济学或管理学类；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2、含2020年全日制普通高校应届毕业生。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专技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承担电子商务专业教学、科研及服务等工作；参与专业和教学团队建设。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工商管理类、管理科学与工程、产业经济学专业；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研究生及以上学历、硕士及以上学位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全国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1、历届生年龄要求35周岁及以下，并具有3年及以上电子商务相关企业工作经历；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4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  <w:bdr w:val="none" w:color="auto" w:sz="0" w:space="0"/>
              </w:rPr>
              <w:t>2、2020年全日制普通高校应届毕业生。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D3D3D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1542"/>
    <w:rsid w:val="58C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2019-11-05T08:19:00Z</dcterms:created>
  <dc:creator>石果</dc:creator>
  <cp:lastModifiedBy>石果</cp:lastModifiedBy>
  <dcterms:modified xsi:type="dcterms:W3CDTF">2019-11-05T08:19:24Z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