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/>
        <w:ind w:left="0" w:right="0" w:firstLine="56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33FF"/>
          <w:spacing w:val="0"/>
          <w:sz w:val="25"/>
          <w:szCs w:val="25"/>
          <w:shd w:val="clear" w:fill="FFFFFF"/>
        </w:rPr>
        <w:t>中科院苏州医工所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</w:rPr>
        <w:t>招聘岗位、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职数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</w:rPr>
        <w:t>及职责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641" w:lineRule="atLeast"/>
        <w:ind w:left="0" w:right="0" w:firstLine="56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</w:rPr>
        <w:t>（一）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</w:rPr>
        <w:t>管理部门第一负责人招聘岗位、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职数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</w:rPr>
        <w:t>及职责</w:t>
      </w:r>
    </w:p>
    <w:tbl>
      <w:tblPr>
        <w:tblW w:w="7363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58"/>
        <w:gridCol w:w="515"/>
        <w:gridCol w:w="52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职数</w:t>
            </w:r>
          </w:p>
        </w:tc>
        <w:tc>
          <w:tcPr>
            <w:tcW w:w="4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主要工作及职责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战略规划处处长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4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）全面负责本处工作；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）负责研究所研究领域规划、学科建设、学会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/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协会的管理；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）负责信息化工作、期刊工作的组织策划工作。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计划与质量处处长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4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）全面负责本处工作；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）负责研究所各类科研项目过程管理、质量管理、保密管理、信息管理等工作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产业发展处处长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4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）全面负责本处工作；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）负责研究所科技成果转移转化、知识产权运营、企业投融资管理；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）负责研究所经营性资产管理、域外分支机构沟通与联络、产业化项目申报与管理。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54" w:hRule="atLeast"/>
          <w:tblCellSpacing w:w="0" w:type="dxa"/>
          <w:jc w:val="center"/>
        </w:trPr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资产财务处处长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4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）全面负责本处工作；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）负责研究所及分支机构各类资金、资产管理，履行财务管理、预算管理、资金调控、税务筹划、风险防控、采购管理等工作；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）负责中科院装备研制项目、修购项目、功能开发项目的策划申报和所级公共技术服务中心管理工作。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641" w:lineRule="atLeast"/>
        <w:ind w:left="0" w:right="0" w:firstLine="56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</w:rPr>
        <w:t>（二）管理部门副职招聘岗位、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职数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27"/>
          <w:szCs w:val="27"/>
          <w:shd w:val="clear" w:fill="FFFFFF"/>
        </w:rPr>
        <w:t>、职责及具体条件</w:t>
      </w:r>
    </w:p>
    <w:tbl>
      <w:tblPr>
        <w:tblW w:w="7288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535"/>
        <w:gridCol w:w="514"/>
        <w:gridCol w:w="42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职数</w:t>
            </w:r>
          </w:p>
        </w:tc>
        <w:tc>
          <w:tcPr>
            <w:tcW w:w="39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</w:rPr>
              <w:t>主要工作及职责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综合管理处副处长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）协助第一负责人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  <w:lang w:eastAsia="zh-CN"/>
              </w:rPr>
              <w:t>完成本部门相关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）完成第一负责人交办的其它工作。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战略规划处副处长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5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73737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科技发展部副部长（副处长级）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5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73737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产业发展处副处长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5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73737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人事教育处副处长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395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73737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monospace" w:hAnsi="宋体" w:eastAsia="monospace" w:cs="monospace"/>
                <w:color w:val="000000"/>
                <w:sz w:val="24"/>
                <w:szCs w:val="24"/>
                <w:u w:val="none"/>
              </w:rPr>
              <w:t>资产财务处副处长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25" w:lineRule="atLeast"/>
              <w:ind w:left="238" w:right="0" w:hanging="238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5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73737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C74CC"/>
    <w:rsid w:val="081C7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2019-11-08T02:10:00Z</dcterms:created>
  <dc:creator>ASUS</dc:creator>
  <cp:lastModifiedBy>ASUS</cp:lastModifiedBy>
  <dcterms:modified xsi:type="dcterms:W3CDTF">2019-11-08T02:11:13Z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