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51" w:lineRule="atLeast"/>
        <w:ind w:left="126" w:right="164"/>
        <w:jc w:val="left"/>
      </w:pPr>
      <w:r>
        <w:rPr>
          <w:rFonts w:ascii="微软雅黑" w:hAnsi="微软雅黑" w:eastAsia="微软雅黑" w:cs="微软雅黑"/>
          <w:color w:val="0E5B6D"/>
          <w:sz w:val="17"/>
          <w:szCs w:val="17"/>
          <w:shd w:val="clear" w:fill="FFFFFF"/>
        </w:rPr>
        <w:t>引进人才待遇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51" w:lineRule="atLeast"/>
        <w:ind w:left="126" w:right="164"/>
        <w:jc w:val="left"/>
      </w:pPr>
      <w:r>
        <w:rPr>
          <w:rStyle w:val="5"/>
          <w:rFonts w:ascii="仿宋" w:hAnsi="仿宋" w:eastAsia="仿宋" w:cs="仿宋"/>
          <w:color w:val="0E5B6D"/>
          <w:sz w:val="25"/>
          <w:szCs w:val="25"/>
          <w:shd w:val="clear" w:fill="FFFFFF"/>
        </w:rPr>
        <w:t>（一）高层次人才待遇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51" w:lineRule="atLeast"/>
        <w:ind w:left="126" w:right="164"/>
        <w:jc w:val="left"/>
      </w:pPr>
      <w:r>
        <w:rPr>
          <w:rFonts w:hint="eastAsia" w:ascii="微软雅黑" w:hAnsi="微软雅黑" w:eastAsia="微软雅黑" w:cs="微软雅黑"/>
          <w:color w:val="0E5B6D"/>
          <w:sz w:val="17"/>
          <w:szCs w:val="17"/>
          <w:shd w:val="clear" w:fill="FFFFFF"/>
        </w:rPr>
        <w:t>具体待遇面议。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51" w:lineRule="atLeast"/>
        <w:ind w:left="126" w:right="164"/>
        <w:jc w:val="left"/>
      </w:pPr>
      <w:r>
        <w:rPr>
          <w:rStyle w:val="5"/>
          <w:rFonts w:hint="eastAsia" w:ascii="宋体" w:hAnsi="宋体" w:eastAsia="宋体" w:cs="宋体"/>
          <w:color w:val="0E5B6D"/>
          <w:sz w:val="22"/>
          <w:szCs w:val="22"/>
          <w:shd w:val="clear" w:fill="FFFFFF"/>
        </w:rPr>
        <w:t>（二）优秀博士人才待遇（税前）</w:t>
      </w:r>
    </w:p>
    <w:tbl>
      <w:tblPr>
        <w:tblW w:w="62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1928"/>
        <w:gridCol w:w="1064"/>
        <w:gridCol w:w="1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博士层次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类型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安家费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+</w:t>
            </w:r>
            <w:r>
              <w:rPr>
                <w:rStyle w:val="5"/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购房补贴（万）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科研启动费参考标准（万）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紧缺专业、海外博士、全球三大排名前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200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名高校、业绩或背景突出博士待遇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满足两个及以上条件的高层次，或业绩特别突出的优秀青年人才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55-65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10-50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满足三个条件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55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文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9-10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、理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11-12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、工医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13-15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满足两个条件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45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文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7-8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、理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9-10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、工医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11-12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满足一个条件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30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文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5-6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、理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7-8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、工医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9-10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一般博士待遇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海外经历一年以上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21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文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5-6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、理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7-8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、工医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9-10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无海外经历或海外经历一年以下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19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文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3-4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、理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5-6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、工医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7-8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6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 xml:space="preserve">本表说明：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、 引进人才取得博士毕业证和学位证，并正式报到上岗后，学校按本表提供相关待遇；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、 视专业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学科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及立项情况，由学校确定是否提供科研启动费。如决定提供科研启动费，其参考标准见本表；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、 安家费为一次性支付，住房补贴分八年支付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,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如购房可一次性提取（根据货币化分房政策，学校如出台相关政策，博士购房补助则按学校制定的货币化分房政策执行）；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、 夫妻双方同为博士，安家费和购房补贴合并计算，为正常值的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1.5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倍；科研启动费分别计算。但如夫妻双方同为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985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高校、国内外知名科研院所、全球三大排名前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400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名高校，或夫妻双方所学专业均为紧缺专业，或夫妻双方均业绩突出的，安家费和购房补贴可申请分别计算；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、 已具有博士后经历且科研业绩突出者，可享受校聘副教授三级岗位津贴待遇三年，三年内可参评副教授；如三年后未能晋级，则回到原待遇；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、 本表所示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紧缺专业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为：外国语言文学（不含英语专业）、马克思主义理论、企业管理（人力资源管理）、金融学、会计学、建筑学、信息与通信工程、电气工程、信息安全、护理学、人体解剖、病理生理学、社会保障、体育学、城乡规划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、 本表所示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全球三大排名前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200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名高校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认定标准为：以上海交通大学世界大学学术排名（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ARWU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）、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QS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世界大学排名、英国《泰晤士高等教育》杂志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THE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世界大学排名为依据，在两个或两个以上排名中均排列前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  <w:lang w:val="en-US"/>
              </w:rPr>
              <w:t>200</w:t>
            </w:r>
            <w:r>
              <w:rPr>
                <w:rFonts w:hint="eastAsia" w:ascii="微软雅黑" w:hAnsi="微软雅黑" w:eastAsia="微软雅黑" w:cs="微软雅黑"/>
                <w:color w:val="919191"/>
                <w:sz w:val="24"/>
                <w:szCs w:val="24"/>
                <w:bdr w:val="none" w:color="auto" w:sz="0" w:space="0"/>
              </w:rPr>
              <w:t>名即认定。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51" w:lineRule="atLeast"/>
        <w:ind w:left="126" w:right="164"/>
        <w:jc w:val="left"/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51" w:lineRule="atLeast"/>
        <w:ind w:left="126" w:right="164"/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51" w:lineRule="atLeast"/>
        <w:ind w:left="126" w:right="164"/>
        <w:jc w:val="left"/>
      </w:pPr>
      <w:r>
        <w:rPr>
          <w:rStyle w:val="5"/>
          <w:rFonts w:hint="eastAsia" w:ascii="微软雅黑" w:hAnsi="微软雅黑" w:eastAsia="微软雅黑" w:cs="微软雅黑"/>
          <w:color w:val="0E5B6D"/>
          <w:sz w:val="17"/>
          <w:szCs w:val="17"/>
          <w:shd w:val="clear" w:fill="FFFFFF"/>
        </w:rPr>
        <w:t>（三）博士后专职科研人员享受的有关待遇</w:t>
      </w:r>
      <w:r>
        <w:rPr>
          <w:rStyle w:val="5"/>
          <w:rFonts w:hint="eastAsia" w:ascii="微软雅黑" w:hAnsi="微软雅黑" w:eastAsia="微软雅黑" w:cs="微软雅黑"/>
          <w:color w:val="0E5B6D"/>
          <w:sz w:val="17"/>
          <w:szCs w:val="1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0E5B6D"/>
          <w:sz w:val="17"/>
          <w:szCs w:val="17"/>
          <w:shd w:val="clear" w:fill="FFFFFF"/>
        </w:rPr>
        <w:t>　　学校现有材料科学与工程、食品科学与工程、机械工程、临床医学、环境科学与工程、生物学、管理科学与工程、化学工程与技术、力学、化学、马克思主义理论等11个博士后科研流动站。面向国内外公开招聘博士后专职科研人员，欢迎广大优秀博士毕业生来校开展博士后研究工作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51" w:lineRule="atLeast"/>
        <w:ind w:left="126" w:right="164" w:firstLine="501"/>
        <w:jc w:val="left"/>
      </w:pPr>
      <w:r>
        <w:rPr>
          <w:rFonts w:hint="eastAsia" w:ascii="微软雅黑" w:hAnsi="微软雅黑" w:eastAsia="微软雅黑" w:cs="微软雅黑"/>
          <w:color w:val="0E5B6D"/>
          <w:sz w:val="17"/>
          <w:szCs w:val="17"/>
          <w:shd w:val="clear" w:fill="FFFFFF"/>
        </w:rPr>
        <w:t>1、实行年薪制，年薪25-35万元，为期三年。具体待遇由申请人与设岗学院（部）商议。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51" w:lineRule="atLeast"/>
        <w:ind w:left="126" w:right="164" w:firstLine="501"/>
        <w:jc w:val="left"/>
      </w:pPr>
      <w:r>
        <w:rPr>
          <w:rFonts w:hint="eastAsia" w:ascii="微软雅黑" w:hAnsi="微软雅黑" w:eastAsia="微软雅黑" w:cs="微软雅黑"/>
          <w:color w:val="0E5B6D"/>
          <w:sz w:val="17"/>
          <w:szCs w:val="17"/>
          <w:shd w:val="clear" w:fill="FFFFFF"/>
        </w:rPr>
        <w:t>2、享受学校在职非事业编制人员相同的社会保险。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51" w:lineRule="atLeast"/>
        <w:ind w:left="126" w:right="164" w:firstLine="501"/>
        <w:jc w:val="left"/>
      </w:pPr>
      <w:r>
        <w:rPr>
          <w:rFonts w:hint="eastAsia" w:ascii="微软雅黑" w:hAnsi="微软雅黑" w:eastAsia="微软雅黑" w:cs="微软雅黑"/>
          <w:color w:val="0E5B6D"/>
          <w:sz w:val="17"/>
          <w:szCs w:val="17"/>
          <w:shd w:val="clear" w:fill="FFFFFF"/>
        </w:rPr>
        <w:t>3、学校提供过渡性住房一套。子女教育可参照学校教职工子女，在南昌大学附属中小学和幼儿园入学入托。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51" w:lineRule="atLeast"/>
        <w:ind w:left="126" w:right="164" w:firstLine="501"/>
        <w:jc w:val="left"/>
      </w:pPr>
      <w:r>
        <w:rPr>
          <w:rFonts w:hint="eastAsia" w:ascii="微软雅黑" w:hAnsi="微软雅黑" w:eastAsia="微软雅黑" w:cs="微软雅黑"/>
          <w:color w:val="0E5B6D"/>
          <w:sz w:val="17"/>
          <w:szCs w:val="17"/>
          <w:shd w:val="clear" w:fill="FFFFFF"/>
        </w:rPr>
        <w:t>4、出站考核优秀者，可在当年按照工作程序录用为学校正式教师。其参加工作时间从进站之日起计算，博士后期间的科研成果可以作为将来职称评定业绩。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E3FFC"/>
    <w:rsid w:val="478E3F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20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2020-02-11T05:41:00Z</dcterms:created>
  <dc:creator>ASUS</dc:creator>
  <cp:lastModifiedBy>ASUS</cp:lastModifiedBy>
  <dcterms:modified xsi:type="dcterms:W3CDTF">2020-02-11T05:41:19Z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