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462"/>
        <w:gridCol w:w="1221"/>
        <w:gridCol w:w="714"/>
        <w:gridCol w:w="879"/>
        <w:gridCol w:w="620"/>
        <w:gridCol w:w="1055"/>
        <w:gridCol w:w="752"/>
        <w:gridCol w:w="608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    人数</w:t>
            </w:r>
          </w:p>
        </w:tc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   类别</w:t>
            </w:r>
          </w:p>
        </w:tc>
        <w:tc>
          <w:tcPr>
            <w:tcW w:w="4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要   求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学历类型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医学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9"/>
                <w:szCs w:val="19"/>
                <w:bdr w:val="none" w:color="auto" w:sz="0" w:space="0"/>
              </w:rPr>
              <w:t>(临床、麻醉、影像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在编人员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2020年毕业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9"/>
                <w:szCs w:val="19"/>
                <w:bdr w:val="none" w:color="auto" w:sz="0" w:space="0"/>
              </w:rPr>
              <w:t>紧缺人才引进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一次性补助安家费。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临床医学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5"/>
                <w:szCs w:val="15"/>
                <w:bdr w:val="none" w:color="auto" w:sz="0" w:space="0"/>
              </w:rPr>
              <w:t>（儿一、急诊、疼痛、感染、内分泌、耳鼻喉科、眼科、病理等临床科室）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有执业资格证者优先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比照在编同类人员待遇，并一次性补助安家费。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有执业资格证者优先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医学影像学（B超、放射）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有执业资格证者优先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医学影像技术（CT）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医学检验学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有执业资格证者优先　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专科及以上学历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医学信息管理或病案统计相关专业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25岁以下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专科及以上学历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28岁以下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新闻传媒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28岁以下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：全日制统招临床医学专业（五年制）毕业生（二A类及以上学校），学士本科生一次性补助安家费2万元，取得规培合格证者一次性补助安家费6万元（不重复补助）；硕士研究生一次性补助安家费6万元，取得规培合格证者一次性补助安家费10万元；博士研究生一次性补助安家费20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127D9"/>
    <w:rsid w:val="4FA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2020-02-17T09:55:00Z</dcterms:created>
  <dc:creator>那时花开咖啡馆。</dc:creator>
  <cp:lastModifiedBy>那时花开咖啡馆。</cp:lastModifiedBy>
  <dcterms:modified xsi:type="dcterms:W3CDTF">2020-02-17T09:56:00Z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