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20" w:afterAutospacing="0" w:line="525" w:lineRule="atLeast"/>
        <w:ind w:left="0" w:firstLine="645"/>
        <w:jc w:val="left"/>
        <w:rPr>
          <w:sz w:val="21"/>
          <w:szCs w:val="21"/>
        </w:rPr>
      </w:pPr>
      <w:r>
        <w:rPr>
          <w:rFonts w:ascii="仿宋_GB2312" w:hAnsi="微软雅黑" w:eastAsia="仿宋_GB2312" w:cs="仿宋_GB2312"/>
          <w:b w:val="0"/>
          <w:color w:val="3D3D3D"/>
          <w:sz w:val="31"/>
          <w:szCs w:val="31"/>
          <w:u w:val="none"/>
        </w:rPr>
        <w:t>本次公开招聘计划推出岗位10个，招聘工作人员12名。</w:t>
      </w:r>
    </w:p>
    <w:tbl>
      <w:tblPr>
        <w:tblW w:w="9225" w:type="dxa"/>
        <w:tblInd w:w="10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337"/>
        <w:gridCol w:w="947"/>
        <w:gridCol w:w="1037"/>
        <w:gridCol w:w="1262"/>
        <w:gridCol w:w="2539"/>
        <w:gridCol w:w="132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Header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岗位序号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招聘岗位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招聘人数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学历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学位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所学专业/学科要求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心内科医师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硕士及以上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内科学（心血管内科）、临床医学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呼吸科医师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硕士及以上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内科学（呼吸病学）、中医学、中西医结合临床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呼吸内科方向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急诊ICU医师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硕士及以上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急诊医学、内科学（重症医学方向）、中医学（中医内科学）、中西医结合临床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风湿科医师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硕士及以上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内科学、中医学、中西医结合临床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风湿病方向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心理卫生科医师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学士及以上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内科学、临床医学、精神病与精神卫生学、神经病学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具有高级职称；注册执业范围：精神卫生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病理科医师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硕士及以上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病理学与病理生理学、法医学、病原生物学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具有执业医师证或能报考执业医师。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耳鼻咽喉科医师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硕士及以上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 xml:space="preserve">耳鼻咽喉科学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肛肠科医师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硕士及以上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外科学、中医学、中西医结合临床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肛肠方向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麻醉科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硕士及以上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麻醉学、临床医学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医保办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硕士及以上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 流行病与卫生统计学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12D6D"/>
    <w:rsid w:val="3A51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2020-03-12T09:40:00Z</dcterms:created>
  <dc:creator>那时花开咖啡馆。</dc:creator>
  <cp:lastModifiedBy>那时花开咖啡馆。</cp:lastModifiedBy>
  <dcterms:modified xsi:type="dcterms:W3CDTF">2020-03-12T09:41:17Z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