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1981"/>
        <w:gridCol w:w="823"/>
        <w:gridCol w:w="2471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研究方向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安排部门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05050"/>
                <w:spacing w:val="0"/>
                <w:sz w:val="21"/>
                <w:szCs w:val="21"/>
              </w:rPr>
              <w:t>联合流动站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1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水工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1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设计处</w:t>
            </w:r>
          </w:p>
        </w:tc>
        <w:tc>
          <w:tcPr>
            <w:tcW w:w="3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清华大学、北京师范大学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2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水文水资源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1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水战略研究一处</w:t>
            </w:r>
          </w:p>
        </w:tc>
        <w:tc>
          <w:tcPr>
            <w:tcW w:w="31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3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水资源、水生态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1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  <w:t>水战略研究二处</w:t>
            </w:r>
          </w:p>
        </w:tc>
        <w:tc>
          <w:tcPr>
            <w:tcW w:w="3120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97F76"/>
    <w:rsid w:val="36597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2020-03-26T06:50:00Z</dcterms:created>
  <dc:creator>不栉进士-小娜娜</dc:creator>
  <cp:lastModifiedBy>不栉进士-小娜娜</cp:lastModifiedBy>
  <dcterms:modified xsi:type="dcterms:W3CDTF">2020-03-26T06:51:01Z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