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方正仿宋_GBK" w:eastAsia="方正仿宋_GBK"/>
          <w:sz w:val="28"/>
          <w:szCs w:val="28"/>
        </w:rPr>
      </w:pPr>
      <w:bookmarkStart w:id="0" w:name="_GoBack"/>
      <w:bookmarkEnd w:id="0"/>
      <w:r>
        <w:rPr>
          <w:rFonts w:hint="eastAsia" w:ascii="方正仿宋_GBK" w:eastAsia="方正仿宋_GBK"/>
          <w:sz w:val="28"/>
          <w:szCs w:val="28"/>
        </w:rPr>
        <w:t>附件1:</w:t>
      </w:r>
    </w:p>
    <w:p>
      <w:pPr>
        <w:spacing w:line="600" w:lineRule="exact"/>
        <w:ind w:firstLine="1760" w:firstLineChars="400"/>
        <w:rPr>
          <w:rFonts w:eastAsia="方正大标宋简体"/>
          <w:sz w:val="44"/>
          <w:szCs w:val="44"/>
        </w:rPr>
      </w:pPr>
      <w:r>
        <w:rPr>
          <w:rFonts w:eastAsia="方正大标宋简体"/>
          <w:sz w:val="44"/>
          <w:szCs w:val="44"/>
        </w:rPr>
        <w:t>2020</w:t>
      </w:r>
      <w:r>
        <w:rPr>
          <w:rFonts w:hint="eastAsia" w:hAnsi="方正大标宋简体" w:eastAsia="方正大标宋简体"/>
          <w:sz w:val="44"/>
          <w:szCs w:val="44"/>
        </w:rPr>
        <w:t>年度瑞丽市引进研究生及以上学历人才计划表</w:t>
      </w: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tbl>
      <w:tblPr>
        <w:tblStyle w:val="12"/>
        <w:tblW w:w="140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275"/>
        <w:gridCol w:w="1701"/>
        <w:gridCol w:w="851"/>
        <w:gridCol w:w="5953"/>
        <w:gridCol w:w="709"/>
        <w:gridCol w:w="851"/>
        <w:gridCol w:w="708"/>
        <w:gridCol w:w="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101" w:type="dxa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2"/>
                <w:szCs w:val="22"/>
              </w:rPr>
            </w:pPr>
            <w:r>
              <w:rPr>
                <w:rFonts w:hint="eastAsia" w:eastAsia="黑体"/>
                <w:sz w:val="22"/>
                <w:szCs w:val="22"/>
              </w:rPr>
              <w:t>招聘单位</w:t>
            </w:r>
          </w:p>
        </w:tc>
        <w:tc>
          <w:tcPr>
            <w:tcW w:w="1275" w:type="dxa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2"/>
                <w:szCs w:val="22"/>
              </w:rPr>
            </w:pPr>
            <w:r>
              <w:rPr>
                <w:rFonts w:hint="eastAsia" w:eastAsia="黑体"/>
                <w:sz w:val="22"/>
                <w:szCs w:val="22"/>
              </w:rPr>
              <w:t>岗位性质及人数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2"/>
                <w:szCs w:val="22"/>
              </w:rPr>
            </w:pPr>
            <w:r>
              <w:rPr>
                <w:rFonts w:hint="eastAsia" w:eastAsia="黑体"/>
                <w:sz w:val="22"/>
                <w:szCs w:val="22"/>
              </w:rPr>
              <w:t>专业要求及人数分配（人）</w:t>
            </w:r>
          </w:p>
        </w:tc>
        <w:tc>
          <w:tcPr>
            <w:tcW w:w="5953" w:type="dxa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2"/>
                <w:szCs w:val="22"/>
              </w:rPr>
            </w:pPr>
            <w:r>
              <w:rPr>
                <w:rFonts w:hint="eastAsia" w:eastAsia="黑体"/>
                <w:sz w:val="22"/>
                <w:szCs w:val="22"/>
              </w:rPr>
              <w:t>专业条件（须与2019年云南省公务员录用考试专业目录一致）</w:t>
            </w:r>
          </w:p>
        </w:tc>
        <w:tc>
          <w:tcPr>
            <w:tcW w:w="709" w:type="dxa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2"/>
                <w:szCs w:val="22"/>
              </w:rPr>
            </w:pPr>
            <w:r>
              <w:rPr>
                <w:rFonts w:hint="eastAsia" w:eastAsia="黑体"/>
                <w:sz w:val="22"/>
                <w:szCs w:val="22"/>
              </w:rPr>
              <w:t>学历形式</w:t>
            </w:r>
          </w:p>
        </w:tc>
        <w:tc>
          <w:tcPr>
            <w:tcW w:w="851" w:type="dxa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2"/>
                <w:szCs w:val="22"/>
              </w:rPr>
            </w:pPr>
            <w:r>
              <w:rPr>
                <w:rFonts w:hint="eastAsia" w:eastAsia="黑体"/>
                <w:sz w:val="22"/>
                <w:szCs w:val="22"/>
              </w:rPr>
              <w:t>学历层次</w:t>
            </w:r>
          </w:p>
        </w:tc>
        <w:tc>
          <w:tcPr>
            <w:tcW w:w="708" w:type="dxa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2"/>
                <w:szCs w:val="22"/>
              </w:rPr>
            </w:pPr>
            <w:r>
              <w:rPr>
                <w:rFonts w:hint="eastAsia" w:eastAsia="黑体"/>
                <w:sz w:val="22"/>
                <w:szCs w:val="22"/>
              </w:rPr>
              <w:t>学位</w:t>
            </w:r>
          </w:p>
        </w:tc>
        <w:tc>
          <w:tcPr>
            <w:tcW w:w="851" w:type="dxa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2"/>
                <w:szCs w:val="22"/>
              </w:rPr>
            </w:pPr>
            <w:r>
              <w:rPr>
                <w:rFonts w:hint="eastAsia" w:eastAsia="黑体"/>
                <w:sz w:val="22"/>
                <w:szCs w:val="22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1101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中国（云南）自由贸易试验区德宏片区工管委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事业编制，8人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color w:val="000000"/>
                <w:spacing w:val="-10"/>
                <w:sz w:val="24"/>
              </w:rPr>
            </w:pPr>
            <w:r>
              <w:rPr>
                <w:rFonts w:hint="eastAsia" w:eastAsia="方正仿宋_GBK"/>
                <w:sz w:val="24"/>
              </w:rPr>
              <w:t>财政税务类</w:t>
            </w: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1</w:t>
            </w:r>
          </w:p>
        </w:tc>
        <w:tc>
          <w:tcPr>
            <w:tcW w:w="5953" w:type="dxa"/>
            <w:vAlign w:val="center"/>
          </w:tcPr>
          <w:p>
            <w:pPr>
              <w:spacing w:line="300" w:lineRule="exact"/>
              <w:rPr>
                <w:rFonts w:eastAsia="方正仿宋_GBK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eastAsia="方正仿宋_GBK"/>
                <w:color w:val="000000"/>
                <w:sz w:val="24"/>
                <w:shd w:val="clear" w:color="auto" w:fill="FFFFFF"/>
              </w:rPr>
              <w:t>一级目录人文社会科学；二级目录财政税务类。专业不限。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spacing w:line="300" w:lineRule="exact"/>
              <w:jc w:val="left"/>
              <w:rPr>
                <w:rFonts w:eastAsia="方正仿宋_GBK"/>
                <w:sz w:val="22"/>
                <w:szCs w:val="22"/>
              </w:rPr>
            </w:pPr>
            <w:r>
              <w:rPr>
                <w:rFonts w:hint="eastAsia" w:eastAsia="方正仿宋_GBK"/>
                <w:sz w:val="22"/>
                <w:szCs w:val="22"/>
              </w:rPr>
              <w:t>全日制统招</w:t>
            </w:r>
          </w:p>
        </w:tc>
        <w:tc>
          <w:tcPr>
            <w:tcW w:w="851" w:type="dxa"/>
            <w:vMerge w:val="restart"/>
            <w:vAlign w:val="center"/>
          </w:tcPr>
          <w:p>
            <w:pPr>
              <w:spacing w:line="300" w:lineRule="exact"/>
              <w:jc w:val="left"/>
              <w:rPr>
                <w:rFonts w:eastAsia="方正仿宋_GBK"/>
                <w:sz w:val="22"/>
                <w:szCs w:val="22"/>
              </w:rPr>
            </w:pPr>
            <w:r>
              <w:rPr>
                <w:rFonts w:hint="eastAsia" w:eastAsia="方正仿宋_GBK"/>
                <w:sz w:val="22"/>
                <w:szCs w:val="22"/>
              </w:rPr>
              <w:t>硕士研究生及以上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spacing w:line="300" w:lineRule="exact"/>
              <w:jc w:val="left"/>
              <w:rPr>
                <w:rFonts w:eastAsia="方正仿宋_GBK"/>
                <w:sz w:val="22"/>
                <w:szCs w:val="22"/>
              </w:rPr>
            </w:pPr>
            <w:r>
              <w:rPr>
                <w:rFonts w:hint="eastAsia" w:eastAsia="方正仿宋_GBK"/>
                <w:sz w:val="22"/>
                <w:szCs w:val="22"/>
              </w:rPr>
              <w:t>硕士及以上</w:t>
            </w:r>
          </w:p>
        </w:tc>
        <w:tc>
          <w:tcPr>
            <w:tcW w:w="851" w:type="dxa"/>
            <w:vMerge w:val="restart"/>
            <w:vAlign w:val="center"/>
          </w:tcPr>
          <w:p>
            <w:pPr>
              <w:spacing w:line="300" w:lineRule="exact"/>
              <w:jc w:val="left"/>
              <w:rPr>
                <w:rFonts w:eastAsia="方正仿宋_GBK"/>
                <w:sz w:val="22"/>
                <w:szCs w:val="22"/>
              </w:rPr>
            </w:pPr>
            <w:r>
              <w:rPr>
                <w:rFonts w:hint="eastAsia" w:eastAsia="方正仿宋_GBK"/>
                <w:sz w:val="22"/>
                <w:szCs w:val="22"/>
              </w:rPr>
              <w:t>0692-3066095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110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color w:val="000000"/>
                <w:spacing w:val="-10"/>
                <w:sz w:val="24"/>
              </w:rPr>
            </w:pPr>
            <w:r>
              <w:rPr>
                <w:rFonts w:hint="eastAsia" w:eastAsia="方正仿宋_GBK"/>
                <w:sz w:val="24"/>
              </w:rPr>
              <w:t>金融类</w:t>
            </w: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1</w:t>
            </w:r>
          </w:p>
        </w:tc>
        <w:tc>
          <w:tcPr>
            <w:tcW w:w="5953" w:type="dxa"/>
            <w:vAlign w:val="center"/>
          </w:tcPr>
          <w:p>
            <w:pPr>
              <w:spacing w:line="300" w:lineRule="exact"/>
              <w:rPr>
                <w:rFonts w:eastAsia="方正仿宋_GBK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eastAsia="方正仿宋_GBK"/>
                <w:color w:val="000000"/>
                <w:sz w:val="24"/>
                <w:shd w:val="clear" w:color="auto" w:fill="FFFFFF"/>
              </w:rPr>
              <w:t>一级目录人文社会科学；二级目录金融学类。专业不限。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spacing w:line="300" w:lineRule="exact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10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color w:val="000000"/>
                <w:spacing w:val="-10"/>
                <w:sz w:val="24"/>
              </w:rPr>
            </w:pPr>
            <w:r>
              <w:rPr>
                <w:rFonts w:hint="eastAsia" w:eastAsia="方正仿宋_GBK"/>
                <w:sz w:val="24"/>
              </w:rPr>
              <w:t>经济学和经济贸易管理类</w:t>
            </w: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1</w:t>
            </w:r>
          </w:p>
        </w:tc>
        <w:tc>
          <w:tcPr>
            <w:tcW w:w="5953" w:type="dxa"/>
            <w:vAlign w:val="center"/>
          </w:tcPr>
          <w:p>
            <w:pPr>
              <w:spacing w:line="300" w:lineRule="exact"/>
              <w:rPr>
                <w:rFonts w:eastAsia="方正仿宋_GBK"/>
                <w:color w:val="000000"/>
                <w:sz w:val="24"/>
              </w:rPr>
            </w:pPr>
            <w:r>
              <w:rPr>
                <w:rFonts w:hint="eastAsia" w:eastAsia="方正仿宋_GBK"/>
                <w:color w:val="000000"/>
                <w:sz w:val="24"/>
                <w:shd w:val="clear" w:color="auto" w:fill="FFFFFF"/>
              </w:rPr>
              <w:t>一级目录人文社会科学；二级目录</w:t>
            </w:r>
            <w:r>
              <w:rPr>
                <w:rFonts w:hint="eastAsia" w:eastAsia="方正仿宋_GBK"/>
                <w:sz w:val="24"/>
              </w:rPr>
              <w:t>经济学和经济贸易管理类</w:t>
            </w:r>
            <w:r>
              <w:rPr>
                <w:rFonts w:hint="eastAsia" w:eastAsia="方正仿宋_GBK"/>
                <w:color w:val="000000"/>
                <w:sz w:val="24"/>
                <w:shd w:val="clear" w:color="auto" w:fill="FFFFFF"/>
              </w:rPr>
              <w:t>。专业不限。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spacing w:line="300" w:lineRule="exact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10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color w:val="000000"/>
                <w:spacing w:val="-10"/>
                <w:sz w:val="24"/>
              </w:rPr>
            </w:pPr>
            <w:r>
              <w:rPr>
                <w:rFonts w:hint="eastAsia" w:eastAsia="方正仿宋_GBK"/>
                <w:sz w:val="24"/>
              </w:rPr>
              <w:t>法学类</w:t>
            </w: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1</w:t>
            </w:r>
          </w:p>
        </w:tc>
        <w:tc>
          <w:tcPr>
            <w:tcW w:w="5953" w:type="dxa"/>
            <w:vAlign w:val="center"/>
          </w:tcPr>
          <w:p>
            <w:pPr>
              <w:spacing w:line="300" w:lineRule="exact"/>
              <w:rPr>
                <w:rFonts w:eastAsia="方正仿宋_GBK"/>
                <w:color w:val="000000"/>
                <w:sz w:val="24"/>
              </w:rPr>
            </w:pPr>
            <w:r>
              <w:rPr>
                <w:rFonts w:hint="eastAsia" w:eastAsia="方正仿宋_GBK"/>
                <w:color w:val="000000"/>
                <w:sz w:val="24"/>
                <w:shd w:val="clear" w:color="auto" w:fill="FFFFFF"/>
              </w:rPr>
              <w:t>一级目录人文社会科学；二级目录法学类。专业不限。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spacing w:line="300" w:lineRule="exact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110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color w:val="000000"/>
                <w:spacing w:val="-10"/>
                <w:sz w:val="24"/>
              </w:rPr>
            </w:pPr>
            <w:r>
              <w:rPr>
                <w:rFonts w:hint="eastAsia" w:eastAsia="方正仿宋_GBK"/>
                <w:sz w:val="24"/>
              </w:rPr>
              <w:t>工商管理及市场营销类</w:t>
            </w: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1</w:t>
            </w:r>
          </w:p>
        </w:tc>
        <w:tc>
          <w:tcPr>
            <w:tcW w:w="5953" w:type="dxa"/>
            <w:vAlign w:val="center"/>
          </w:tcPr>
          <w:p>
            <w:pPr>
              <w:spacing w:line="300" w:lineRule="exact"/>
              <w:jc w:val="left"/>
              <w:rPr>
                <w:rFonts w:eastAsia="方正仿宋_GBK"/>
                <w:color w:val="000000"/>
                <w:sz w:val="24"/>
              </w:rPr>
            </w:pPr>
            <w:r>
              <w:rPr>
                <w:rFonts w:hint="eastAsia" w:eastAsia="方正仿宋_GBK"/>
                <w:color w:val="000000"/>
                <w:sz w:val="24"/>
                <w:shd w:val="clear" w:color="auto" w:fill="FFFFFF"/>
              </w:rPr>
              <w:t>一级目录人文社会科学；二级目录</w:t>
            </w:r>
            <w:r>
              <w:rPr>
                <w:rFonts w:hint="eastAsia" w:eastAsia="方正仿宋_GBK"/>
                <w:sz w:val="24"/>
              </w:rPr>
              <w:t>工商管理及市场营销类。</w:t>
            </w:r>
            <w:r>
              <w:rPr>
                <w:rFonts w:hint="eastAsia" w:eastAsia="方正仿宋_GBK"/>
                <w:color w:val="000000"/>
                <w:sz w:val="24"/>
                <w:shd w:val="clear" w:color="auto" w:fill="FFFFFF"/>
              </w:rPr>
              <w:t>专业不限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spacing w:line="300" w:lineRule="exact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</w:trPr>
        <w:tc>
          <w:tcPr>
            <w:tcW w:w="110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color w:val="000000"/>
                <w:spacing w:val="-10"/>
                <w:sz w:val="24"/>
              </w:rPr>
            </w:pPr>
            <w:r>
              <w:rPr>
                <w:rFonts w:hint="eastAsia" w:eastAsia="方正仿宋_GBK"/>
                <w:sz w:val="24"/>
              </w:rPr>
              <w:t>物流管理与工程类</w:t>
            </w: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1</w:t>
            </w:r>
          </w:p>
        </w:tc>
        <w:tc>
          <w:tcPr>
            <w:tcW w:w="5953" w:type="dxa"/>
            <w:vAlign w:val="center"/>
          </w:tcPr>
          <w:p>
            <w:pPr>
              <w:spacing w:line="300" w:lineRule="exact"/>
              <w:rPr>
                <w:rFonts w:eastAsia="方正仿宋_GBK"/>
                <w:color w:val="000000"/>
                <w:sz w:val="24"/>
              </w:rPr>
            </w:pPr>
            <w:r>
              <w:rPr>
                <w:rFonts w:hint="eastAsia" w:eastAsia="方正仿宋_GBK"/>
                <w:color w:val="000000"/>
                <w:sz w:val="24"/>
                <w:shd w:val="clear" w:color="auto" w:fill="FFFFFF"/>
              </w:rPr>
              <w:t>一级目录人文社会科学；二级目录</w:t>
            </w:r>
            <w:r>
              <w:rPr>
                <w:rFonts w:hint="eastAsia" w:eastAsia="方正仿宋_GBK"/>
                <w:sz w:val="24"/>
              </w:rPr>
              <w:t>物流管理与工程类</w:t>
            </w:r>
            <w:r>
              <w:rPr>
                <w:rFonts w:hint="eastAsia" w:eastAsia="方正仿宋_GBK"/>
                <w:color w:val="000000"/>
                <w:sz w:val="24"/>
              </w:rPr>
              <w:t>。</w:t>
            </w:r>
            <w:r>
              <w:rPr>
                <w:rFonts w:hint="eastAsia" w:eastAsia="方正仿宋_GBK"/>
                <w:color w:val="000000"/>
                <w:sz w:val="24"/>
                <w:shd w:val="clear" w:color="auto" w:fill="FFFFFF"/>
              </w:rPr>
              <w:t>专业不限。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spacing w:line="300" w:lineRule="exact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</w:trPr>
        <w:tc>
          <w:tcPr>
            <w:tcW w:w="110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公共管理及服务类</w:t>
            </w: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2</w:t>
            </w:r>
          </w:p>
        </w:tc>
        <w:tc>
          <w:tcPr>
            <w:tcW w:w="5953" w:type="dxa"/>
            <w:vAlign w:val="center"/>
          </w:tcPr>
          <w:p>
            <w:pPr>
              <w:spacing w:line="300" w:lineRule="exact"/>
              <w:rPr>
                <w:rFonts w:eastAsia="方正仿宋_GBK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eastAsia="方正仿宋_GBK"/>
                <w:color w:val="000000"/>
                <w:sz w:val="24"/>
                <w:shd w:val="clear" w:color="auto" w:fill="FFFFFF"/>
              </w:rPr>
              <w:t>一级目录人文社会科学；二级目录</w:t>
            </w:r>
            <w:r>
              <w:rPr>
                <w:rFonts w:hint="eastAsia" w:eastAsia="方正仿宋_GBK"/>
                <w:sz w:val="24"/>
              </w:rPr>
              <w:t>公共管理及服务类</w:t>
            </w:r>
            <w:r>
              <w:rPr>
                <w:rFonts w:hint="eastAsia" w:eastAsia="方正仿宋_GBK"/>
                <w:color w:val="000000"/>
                <w:sz w:val="24"/>
              </w:rPr>
              <w:t>。</w:t>
            </w:r>
            <w:r>
              <w:rPr>
                <w:rFonts w:hint="eastAsia" w:eastAsia="方正仿宋_GBK"/>
                <w:color w:val="000000"/>
                <w:sz w:val="24"/>
                <w:shd w:val="clear" w:color="auto" w:fill="FFFFFF"/>
              </w:rPr>
              <w:t>专业不限。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spacing w:line="300" w:lineRule="exact"/>
              <w:rPr>
                <w:sz w:val="22"/>
                <w:szCs w:val="22"/>
              </w:rPr>
            </w:pPr>
          </w:p>
        </w:tc>
      </w:tr>
    </w:tbl>
    <w:p>
      <w:pPr>
        <w:pStyle w:val="2"/>
        <w:rPr>
          <w:rFonts w:ascii="Times New Roman" w:hAnsi="Times New Roman"/>
        </w:rPr>
      </w:pPr>
    </w:p>
    <w:p>
      <w:pPr>
        <w:spacing w:line="300" w:lineRule="exact"/>
        <w:rPr>
          <w:rFonts w:eastAsia="仿宋_GB2312"/>
          <w:spacing w:val="11"/>
          <w:sz w:val="32"/>
        </w:rPr>
      </w:pPr>
    </w:p>
    <w:sectPr>
      <w:footerReference r:id="rId3" w:type="default"/>
      <w:pgSz w:w="16838" w:h="11906" w:orient="landscape"/>
      <w:pgMar w:top="1417" w:right="1701" w:bottom="1417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-294005</wp:posOffset>
              </wp:positionV>
              <wp:extent cx="579755" cy="368300"/>
              <wp:effectExtent l="0" t="0" r="0" b="0"/>
              <wp:wrapNone/>
              <wp:docPr id="1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9755" cy="3683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4" o:spid="_x0000_s1026" o:spt="202" type="#_x0000_t202" style="position:absolute;left:0pt;margin-top:-23.15pt;height:29pt;width:45.65pt;mso-position-horizontal:outside;mso-position-horizontal-relative:margin;z-index:251660288;mso-width-relative:page;mso-height-relative:page;" filled="f" stroked="f" coordsize="21600,21600" o:gfxdata="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Lm8wB/WAAAA&#10;BgEAAA8AAAAAAAAAAQAgAAAAIgAAAGRycy9kb3ducmV2LnhtbFBLAQIUABQAAAAIAIdO4kCNdJK+&#10;rQEAADoDAAAOAAAAAAAAAAEAIAAAACUBAABkcnMvZTJvRG9jLnhtbFBLBQYAAAAABgAGAFkBAABE&#10;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  <w:jc w:val="center"/>
                    </w:pPr>
                    <w:r>
                      <w:rPr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1"/>
    </o:shapelayout>
  </w:hdrShapeDefaults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5BD"/>
    <w:rsid w:val="0001774E"/>
    <w:rsid w:val="00025861"/>
    <w:rsid w:val="00047EB5"/>
    <w:rsid w:val="000553C7"/>
    <w:rsid w:val="00064BE5"/>
    <w:rsid w:val="000807A9"/>
    <w:rsid w:val="000D443D"/>
    <w:rsid w:val="000F301E"/>
    <w:rsid w:val="00167E73"/>
    <w:rsid w:val="001B41F5"/>
    <w:rsid w:val="001E046B"/>
    <w:rsid w:val="001E61B4"/>
    <w:rsid w:val="002C2C5F"/>
    <w:rsid w:val="002C772D"/>
    <w:rsid w:val="002D7572"/>
    <w:rsid w:val="002E2545"/>
    <w:rsid w:val="002F27D1"/>
    <w:rsid w:val="002F7E49"/>
    <w:rsid w:val="00335A2A"/>
    <w:rsid w:val="00344FB4"/>
    <w:rsid w:val="00364341"/>
    <w:rsid w:val="00367DB4"/>
    <w:rsid w:val="00370BEC"/>
    <w:rsid w:val="003A671B"/>
    <w:rsid w:val="003B2D14"/>
    <w:rsid w:val="004115BD"/>
    <w:rsid w:val="00493FCC"/>
    <w:rsid w:val="004C2DC7"/>
    <w:rsid w:val="004C7466"/>
    <w:rsid w:val="004E3F97"/>
    <w:rsid w:val="005146E6"/>
    <w:rsid w:val="00527D07"/>
    <w:rsid w:val="005503A5"/>
    <w:rsid w:val="00590550"/>
    <w:rsid w:val="005A55C1"/>
    <w:rsid w:val="005C66DA"/>
    <w:rsid w:val="005E507C"/>
    <w:rsid w:val="00615FF6"/>
    <w:rsid w:val="006A5A31"/>
    <w:rsid w:val="00762561"/>
    <w:rsid w:val="00796DDE"/>
    <w:rsid w:val="007A340C"/>
    <w:rsid w:val="007B00C7"/>
    <w:rsid w:val="007B36A7"/>
    <w:rsid w:val="00857BBD"/>
    <w:rsid w:val="008B081A"/>
    <w:rsid w:val="00907A19"/>
    <w:rsid w:val="009269B9"/>
    <w:rsid w:val="00973AC9"/>
    <w:rsid w:val="009B1FA1"/>
    <w:rsid w:val="009E2C54"/>
    <w:rsid w:val="00A62D47"/>
    <w:rsid w:val="00AB2191"/>
    <w:rsid w:val="00AC124F"/>
    <w:rsid w:val="00AC67F4"/>
    <w:rsid w:val="00AC7722"/>
    <w:rsid w:val="00AD50AA"/>
    <w:rsid w:val="00AE0F0E"/>
    <w:rsid w:val="00AE2FF2"/>
    <w:rsid w:val="00AF66F4"/>
    <w:rsid w:val="00B01A50"/>
    <w:rsid w:val="00B56FA8"/>
    <w:rsid w:val="00B70288"/>
    <w:rsid w:val="00B92930"/>
    <w:rsid w:val="00C00D99"/>
    <w:rsid w:val="00C017C6"/>
    <w:rsid w:val="00C03754"/>
    <w:rsid w:val="00CD7422"/>
    <w:rsid w:val="00CF585D"/>
    <w:rsid w:val="00D06DA1"/>
    <w:rsid w:val="00D30490"/>
    <w:rsid w:val="00D40EC7"/>
    <w:rsid w:val="00D624A9"/>
    <w:rsid w:val="00D83267"/>
    <w:rsid w:val="00DB21AF"/>
    <w:rsid w:val="00DD4DBA"/>
    <w:rsid w:val="00E557A4"/>
    <w:rsid w:val="00E71AB6"/>
    <w:rsid w:val="00E761B1"/>
    <w:rsid w:val="00E92888"/>
    <w:rsid w:val="00EA6016"/>
    <w:rsid w:val="00EF4EF8"/>
    <w:rsid w:val="00F67537"/>
    <w:rsid w:val="00F961BE"/>
    <w:rsid w:val="00FB0353"/>
    <w:rsid w:val="00FC713F"/>
    <w:rsid w:val="00FD7C5F"/>
    <w:rsid w:val="00FE3CA0"/>
    <w:rsid w:val="01B46B1D"/>
    <w:rsid w:val="02D65EA1"/>
    <w:rsid w:val="032A2DAD"/>
    <w:rsid w:val="03CE34D0"/>
    <w:rsid w:val="04C71AE7"/>
    <w:rsid w:val="0683327C"/>
    <w:rsid w:val="071278BB"/>
    <w:rsid w:val="078B1C87"/>
    <w:rsid w:val="07B85FD3"/>
    <w:rsid w:val="07ED35EA"/>
    <w:rsid w:val="08836A0D"/>
    <w:rsid w:val="089F032F"/>
    <w:rsid w:val="0B4C6F1C"/>
    <w:rsid w:val="0B6176A4"/>
    <w:rsid w:val="0B7C6AEC"/>
    <w:rsid w:val="0C2761B2"/>
    <w:rsid w:val="0C566163"/>
    <w:rsid w:val="0C9D73A0"/>
    <w:rsid w:val="0D851556"/>
    <w:rsid w:val="0DA63954"/>
    <w:rsid w:val="0EC66821"/>
    <w:rsid w:val="106E6C71"/>
    <w:rsid w:val="10DE126D"/>
    <w:rsid w:val="124E496B"/>
    <w:rsid w:val="12604691"/>
    <w:rsid w:val="12A863B3"/>
    <w:rsid w:val="13806A67"/>
    <w:rsid w:val="13D92063"/>
    <w:rsid w:val="154C15E1"/>
    <w:rsid w:val="160E5EB3"/>
    <w:rsid w:val="161321A9"/>
    <w:rsid w:val="16FD0D06"/>
    <w:rsid w:val="19AE194F"/>
    <w:rsid w:val="1A746FFF"/>
    <w:rsid w:val="1B6173D7"/>
    <w:rsid w:val="1BAA7830"/>
    <w:rsid w:val="1BC9246C"/>
    <w:rsid w:val="1C0F24E0"/>
    <w:rsid w:val="1C7823CC"/>
    <w:rsid w:val="1CEA2E00"/>
    <w:rsid w:val="1D111081"/>
    <w:rsid w:val="1D880311"/>
    <w:rsid w:val="1E78042D"/>
    <w:rsid w:val="1EAC23B0"/>
    <w:rsid w:val="1EC41FA3"/>
    <w:rsid w:val="200E431A"/>
    <w:rsid w:val="20ED6430"/>
    <w:rsid w:val="2150452F"/>
    <w:rsid w:val="21D810DD"/>
    <w:rsid w:val="221D13C2"/>
    <w:rsid w:val="244920C9"/>
    <w:rsid w:val="24EF2D5E"/>
    <w:rsid w:val="250412CE"/>
    <w:rsid w:val="25A12916"/>
    <w:rsid w:val="269C536D"/>
    <w:rsid w:val="26D46B45"/>
    <w:rsid w:val="27E4339D"/>
    <w:rsid w:val="281A6A02"/>
    <w:rsid w:val="28D249A6"/>
    <w:rsid w:val="29A9748F"/>
    <w:rsid w:val="29B61FC9"/>
    <w:rsid w:val="2A0A30E1"/>
    <w:rsid w:val="2A39672E"/>
    <w:rsid w:val="2A561885"/>
    <w:rsid w:val="2B49623A"/>
    <w:rsid w:val="2B58174C"/>
    <w:rsid w:val="2CC750D1"/>
    <w:rsid w:val="2D5504B2"/>
    <w:rsid w:val="2D5C2F75"/>
    <w:rsid w:val="2DCC2295"/>
    <w:rsid w:val="2EFB0A42"/>
    <w:rsid w:val="2F161398"/>
    <w:rsid w:val="2F750955"/>
    <w:rsid w:val="2FE75601"/>
    <w:rsid w:val="31060B93"/>
    <w:rsid w:val="31605B2E"/>
    <w:rsid w:val="320C7E0D"/>
    <w:rsid w:val="32436F72"/>
    <w:rsid w:val="325C39B9"/>
    <w:rsid w:val="32671267"/>
    <w:rsid w:val="32F2011C"/>
    <w:rsid w:val="33D37A6C"/>
    <w:rsid w:val="3443207E"/>
    <w:rsid w:val="3468530E"/>
    <w:rsid w:val="34B5225F"/>
    <w:rsid w:val="35A95429"/>
    <w:rsid w:val="37004CFA"/>
    <w:rsid w:val="38365DCB"/>
    <w:rsid w:val="38C579DF"/>
    <w:rsid w:val="38E3554F"/>
    <w:rsid w:val="3955516A"/>
    <w:rsid w:val="3A6E6BA8"/>
    <w:rsid w:val="3AC229EC"/>
    <w:rsid w:val="3B7170A1"/>
    <w:rsid w:val="3E1C42A9"/>
    <w:rsid w:val="3EEA7729"/>
    <w:rsid w:val="3F864012"/>
    <w:rsid w:val="3FB418A2"/>
    <w:rsid w:val="3FB74FC1"/>
    <w:rsid w:val="3FEB7AF0"/>
    <w:rsid w:val="41120CD4"/>
    <w:rsid w:val="4182312B"/>
    <w:rsid w:val="42A43AAD"/>
    <w:rsid w:val="42A50FFA"/>
    <w:rsid w:val="43281123"/>
    <w:rsid w:val="43746761"/>
    <w:rsid w:val="437C3B23"/>
    <w:rsid w:val="448045DF"/>
    <w:rsid w:val="45186604"/>
    <w:rsid w:val="45B63377"/>
    <w:rsid w:val="466E44D8"/>
    <w:rsid w:val="46CF7DB8"/>
    <w:rsid w:val="487C6BD2"/>
    <w:rsid w:val="48EB1E3E"/>
    <w:rsid w:val="49905752"/>
    <w:rsid w:val="4A4B6CD3"/>
    <w:rsid w:val="4E2F359B"/>
    <w:rsid w:val="4E3A61FF"/>
    <w:rsid w:val="4E9E1200"/>
    <w:rsid w:val="4ED70EF9"/>
    <w:rsid w:val="50754731"/>
    <w:rsid w:val="50A64A45"/>
    <w:rsid w:val="51754481"/>
    <w:rsid w:val="517C1563"/>
    <w:rsid w:val="51B64820"/>
    <w:rsid w:val="52ED4D7C"/>
    <w:rsid w:val="54E32F30"/>
    <w:rsid w:val="55000B56"/>
    <w:rsid w:val="5514135F"/>
    <w:rsid w:val="55725676"/>
    <w:rsid w:val="55910C1A"/>
    <w:rsid w:val="563130E0"/>
    <w:rsid w:val="5784103F"/>
    <w:rsid w:val="57CF735F"/>
    <w:rsid w:val="5862302B"/>
    <w:rsid w:val="59AA66A2"/>
    <w:rsid w:val="5A720E57"/>
    <w:rsid w:val="5AB718B3"/>
    <w:rsid w:val="5B3342F1"/>
    <w:rsid w:val="5BA11331"/>
    <w:rsid w:val="5BCA70D7"/>
    <w:rsid w:val="5C8739C3"/>
    <w:rsid w:val="5F4A3968"/>
    <w:rsid w:val="60D66FD7"/>
    <w:rsid w:val="610B46D3"/>
    <w:rsid w:val="6203775B"/>
    <w:rsid w:val="63604D45"/>
    <w:rsid w:val="653327E2"/>
    <w:rsid w:val="65527DD5"/>
    <w:rsid w:val="66C411B3"/>
    <w:rsid w:val="67314DAF"/>
    <w:rsid w:val="677340B7"/>
    <w:rsid w:val="68641615"/>
    <w:rsid w:val="686E46D8"/>
    <w:rsid w:val="68920FEB"/>
    <w:rsid w:val="68D006EA"/>
    <w:rsid w:val="69032B5F"/>
    <w:rsid w:val="69A9324F"/>
    <w:rsid w:val="6B413244"/>
    <w:rsid w:val="6B79111A"/>
    <w:rsid w:val="6C1C1E3A"/>
    <w:rsid w:val="6C5733F0"/>
    <w:rsid w:val="6CC904FC"/>
    <w:rsid w:val="6DCB7D31"/>
    <w:rsid w:val="6E83774B"/>
    <w:rsid w:val="6ECD65E8"/>
    <w:rsid w:val="6FBD2C44"/>
    <w:rsid w:val="70FA485B"/>
    <w:rsid w:val="71EB52A1"/>
    <w:rsid w:val="72DE60F9"/>
    <w:rsid w:val="72FB64E2"/>
    <w:rsid w:val="733C7F8F"/>
    <w:rsid w:val="741B12E7"/>
    <w:rsid w:val="753237EF"/>
    <w:rsid w:val="75387C15"/>
    <w:rsid w:val="76E45D70"/>
    <w:rsid w:val="774666EE"/>
    <w:rsid w:val="78146505"/>
    <w:rsid w:val="78D518BF"/>
    <w:rsid w:val="79D540FA"/>
    <w:rsid w:val="7B040C28"/>
    <w:rsid w:val="7B7D683B"/>
    <w:rsid w:val="7B926D86"/>
    <w:rsid w:val="7CA62DC5"/>
    <w:rsid w:val="7D2512F6"/>
    <w:rsid w:val="7DE02DC0"/>
    <w:rsid w:val="7EEE29FC"/>
    <w:rsid w:val="7F174CAB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"/>
    <m:dispDef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99" w:semiHidden="0" w:name="heading 2"/>
    <w:lsdException w:qFormat="1" w:unhideWhenUsed="0" w:uiPriority="99" w:semiHidden="0" w:name="heading 3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link w:val="14"/>
    <w:qFormat/>
    <w:uiPriority w:val="99"/>
    <w:pPr>
      <w:spacing w:before="100" w:beforeAutospacing="1" w:after="100" w:afterAutospacing="1"/>
      <w:jc w:val="left"/>
      <w:outlineLvl w:val="1"/>
    </w:pPr>
    <w:rPr>
      <w:rFonts w:ascii="宋体" w:hAnsi="宋体"/>
      <w:b/>
      <w:kern w:val="0"/>
      <w:sz w:val="36"/>
      <w:szCs w:val="36"/>
    </w:rPr>
  </w:style>
  <w:style w:type="paragraph" w:styleId="4">
    <w:name w:val="heading 3"/>
    <w:basedOn w:val="1"/>
    <w:next w:val="1"/>
    <w:link w:val="15"/>
    <w:qFormat/>
    <w:uiPriority w:val="99"/>
    <w:pPr>
      <w:spacing w:before="100" w:beforeAutospacing="1" w:after="100" w:afterAutospacing="1"/>
      <w:jc w:val="left"/>
      <w:outlineLvl w:val="2"/>
    </w:pPr>
    <w:rPr>
      <w:rFonts w:ascii="宋体" w:hAnsi="宋体"/>
      <w:b/>
      <w:kern w:val="0"/>
      <w:sz w:val="27"/>
      <w:szCs w:val="27"/>
    </w:rPr>
  </w:style>
  <w:style w:type="character" w:default="1" w:styleId="8">
    <w:name w:val="Default Paragraph Font"/>
    <w:unhideWhenUsed/>
    <w:qFormat/>
    <w:uiPriority w:val="1"/>
  </w:style>
  <w:style w:type="table" w:default="1" w:styleId="12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99"/>
    <w:pPr>
      <w:widowControl w:val="0"/>
      <w:autoSpaceDE w:val="0"/>
      <w:autoSpaceDN w:val="0"/>
      <w:adjustRightInd w:val="0"/>
    </w:pPr>
    <w:rPr>
      <w:rFonts w:ascii="仿宋_GB2312" w:hAnsi="Calibri" w:eastAsia="仿宋_GB2312" w:cs="Times New Roman"/>
      <w:color w:val="000000"/>
      <w:sz w:val="24"/>
      <w:szCs w:val="22"/>
      <w:lang w:val="en-US" w:eastAsia="zh-CN" w:bidi="ar-SA"/>
    </w:rPr>
  </w:style>
  <w:style w:type="paragraph" w:styleId="5">
    <w:name w:val="footer"/>
    <w:basedOn w:val="1"/>
    <w:link w:val="1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7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9">
    <w:name w:val="Strong"/>
    <w:basedOn w:val="8"/>
    <w:qFormat/>
    <w:uiPriority w:val="99"/>
    <w:rPr>
      <w:rFonts w:cs="Times New Roman"/>
      <w:b/>
      <w:bCs/>
    </w:rPr>
  </w:style>
  <w:style w:type="character" w:styleId="10">
    <w:name w:val="page number"/>
    <w:basedOn w:val="8"/>
    <w:qFormat/>
    <w:uiPriority w:val="99"/>
    <w:rPr>
      <w:rFonts w:cs="Times New Roman"/>
    </w:rPr>
  </w:style>
  <w:style w:type="character" w:styleId="11">
    <w:name w:val="Hyperlink"/>
    <w:basedOn w:val="8"/>
    <w:qFormat/>
    <w:uiPriority w:val="99"/>
    <w:rPr>
      <w:rFonts w:cs="Times New Roman"/>
      <w:color w:val="0000FF"/>
      <w:u w:val="single"/>
    </w:rPr>
  </w:style>
  <w:style w:type="table" w:styleId="13">
    <w:name w:val="Table Grid"/>
    <w:basedOn w:val="12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4">
    <w:name w:val="标题 2 Char"/>
    <w:basedOn w:val="8"/>
    <w:link w:val="3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5">
    <w:name w:val="标题 3 Char"/>
    <w:basedOn w:val="8"/>
    <w:link w:val="4"/>
    <w:semiHidden/>
    <w:qFormat/>
    <w:uiPriority w:val="9"/>
    <w:rPr>
      <w:b/>
      <w:bCs/>
      <w:sz w:val="32"/>
      <w:szCs w:val="32"/>
    </w:rPr>
  </w:style>
  <w:style w:type="character" w:customStyle="1" w:styleId="16">
    <w:name w:val="页脚 Char"/>
    <w:basedOn w:val="8"/>
    <w:link w:val="5"/>
    <w:semiHidden/>
    <w:qFormat/>
    <w:uiPriority w:val="99"/>
    <w:rPr>
      <w:sz w:val="18"/>
      <w:szCs w:val="18"/>
    </w:rPr>
  </w:style>
  <w:style w:type="character" w:customStyle="1" w:styleId="17">
    <w:name w:val="页眉 Char"/>
    <w:basedOn w:val="8"/>
    <w:link w:val="6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72</Words>
  <Characters>414</Characters>
  <Lines>3</Lines>
  <Paragraphs>1</Paragraphs>
  <TotalTime>0</TotalTime>
  <ScaleCrop>false</ScaleCrop>
  <LinksUpToDate>false</LinksUpToDate>
  <CharactersWithSpaces>485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2020-03-30T00:28:00Z</dcterms:created>
  <dc:creator>user</dc:creator>
  <cp:lastModifiedBy>DHZZF06</cp:lastModifiedBy>
  <cp:lastPrinted>2019-06-03T07:37:00Z</cp:lastPrinted>
  <dcterms:modified xsi:type="dcterms:W3CDTF">2020-04-01T01:15:06Z</dcterms:modified>
  <dc:title>2019年栾川县引进百名研究生学历人才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