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2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45"/>
        <w:gridCol w:w="990"/>
        <w:gridCol w:w="2265"/>
        <w:gridCol w:w="141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Style w:val="5"/>
                <w:rFonts w:ascii="Verdana" w:hAnsi="Verdana" w:eastAsia="宋体" w:cs="Verdana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2020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28"/>
                <w:szCs w:val="28"/>
                <w:bdr w:val="none" w:color="auto" w:sz="0" w:space="0"/>
              </w:rPr>
              <w:t>应届毕业生</w:t>
            </w: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岗位编号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科室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专业方向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学历学位要求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需求数量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心血管内科Ⅰ病区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心血管内科Ⅱ病区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心血管内科Ⅲ病区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心血管内科学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呼吸与危重症医学科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呼吸内科学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消化内科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消化内科学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血液内科学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神经病学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综合医疗科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老年医学、心血管内科、呼吸内科学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肾病内科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肾病内科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肿 瘤 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肿瘤内科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感 染 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感染性疾病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肝胆胰中心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肝胆胰外科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普通外科Ⅲ病区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甲状腺、乳腺外科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骨科Ⅱ病区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骨外科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整形美容烧伤科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整形外科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脑血管疾病诊疗中心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胸心大血管外科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心脏、大血管外科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疼痛科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疼痛、麻醉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重症医学科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急诊、重症等临床医学相关专业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麻醉学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皮 肤 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皮肤病与性病学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眼科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耳鼻咽喉科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耳鼻咽喉科学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24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口 腔 科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口腔相关专业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儿童康复中心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儿科学、儿童康复医学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神经康复中心Ⅱ病区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康复医学相关专业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神经康复中心Ⅲ病区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康复医学、神经病学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骨科康复中心Ⅲ病区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中医骨伤、针灸推拿、中西医结合临床骨康方向、康复医学、骨外科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心理卫生中心/睡眠障碍中心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精神病与精神卫生学、神经病学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64(增补)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中医部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中医学、中西医结合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中医康复综合部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中医骨伤、针灸推拿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产科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妇科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生殖医学中心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妇产科学、泌尿及生殖医学、遗传学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女性健康管理中心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妇产科学、内分泌、干细胞相关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儿科Ⅰ病区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儿科Ⅱ病区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儿科Ⅲ病区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儿科门诊（含PICU）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急诊科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急诊、重症等临床相关专业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防保感控处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儿童保健、预防保健等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医学影像中心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核医学科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病理学与病理生理学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临床输血专业、临床医学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心功能室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临床医学相关专业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药学部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药师岗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临床药学相关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临床护理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护理岗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985、211高校护理学毕业生；其他高校全国护理技能竞赛获奖毕业生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血液内科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临床检验、临床医学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神经病学、临床医学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医学物理、生物医学工程、影像技术专业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皮肤科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皮肤病理、皮肤影像方向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53</w:t>
            </w: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儿童康复中心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康复治疗学及相关专业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幼教、特教、儿童心理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专科及以上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54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心肺康复中心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康复治疗学及相关专业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睡眠障碍康复中心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临床医学2020年规培结业、康复治疗学相关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56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康复治疗部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康复治疗学、康复医学与理疗学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医学影像中心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医学影像学、医学影像技术学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58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输血科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技师岗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临床检验或输血相关专业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59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儿科研究所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科研岗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基础医学、临床医学等儿童疾病研究相关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脑科学研究所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科研岗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基础医学、生物学、生物医学相关专业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创面修复和皮肤外科实验室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科研岗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生物学相关专业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信息资源部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行政岗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计算机相关专业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硕士及以上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63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后勤服务中心        （医学工程部）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行政岗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生物医学工程相关专业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8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19"/>
                <w:szCs w:val="19"/>
                <w:bdr w:val="none" w:color="auto" w:sz="0" w:space="0"/>
              </w:rPr>
              <w:t>备注：1.以上所有招聘岗位均要求应聘者专业对口，且是普通全日制应届毕业生。2.优秀博士毕业生不受此公告名额限制。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4E6F"/>
    <w:rsid w:val="1234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2020-04-08T02:03:00Z</dcterms:created>
  <dc:creator>秋叶夏花</dc:creator>
  <cp:lastModifiedBy>秋叶夏花</cp:lastModifiedBy>
  <dcterms:modified xsi:type="dcterms:W3CDTF">2020-04-08T02:04:52Z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