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376" w:lineRule="atLeast"/>
        <w:ind w:left="502" w:right="250"/>
        <w:jc w:val="center"/>
        <w:rPr>
          <w:sz w:val="17"/>
          <w:szCs w:val="17"/>
        </w:rPr>
      </w:pPr>
      <w:r>
        <w:rPr>
          <w:b/>
          <w:color w:val="216DCF"/>
          <w:sz w:val="30"/>
          <w:szCs w:val="30"/>
        </w:rPr>
        <w:t>浙江省海洋经济创新发展院</w:t>
      </w:r>
      <w:bookmarkStart w:id="0" w:name="_GoBack"/>
      <w:bookmarkEnd w:id="0"/>
      <w:r>
        <w:rPr>
          <w:rFonts w:ascii="黑体" w:hAnsi="宋体" w:eastAsia="黑体" w:cs="黑体"/>
          <w:color w:val="666666"/>
          <w:sz w:val="26"/>
          <w:szCs w:val="26"/>
        </w:rPr>
        <w:t>招聘计划</w:t>
      </w:r>
    </w:p>
    <w:tbl>
      <w:tblPr>
        <w:tblW w:w="894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28"/>
        <w:gridCol w:w="1342"/>
        <w:gridCol w:w="953"/>
        <w:gridCol w:w="1630"/>
        <w:gridCol w:w="1103"/>
        <w:gridCol w:w="15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666666"/>
                <w:sz w:val="26"/>
                <w:szCs w:val="26"/>
              </w:rPr>
              <w:t>招聘岗位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招聘人数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学历学位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（及以上）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户籍要求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年龄要求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专业要求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建筑专业学科教学带头人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全日制普通高校本科及以上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不限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55周岁以下（1964年5月15日后出生）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建筑学类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666666"/>
                <w:sz w:val="26"/>
                <w:szCs w:val="26"/>
              </w:rPr>
              <w:t>须具有正高级教授专业技术资格、5年以上教学管理经历。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16B23"/>
    <w:rsid w:val="3B516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2020-05-15T07:35:00Z</dcterms:created>
  <dc:creator>ASUS</dc:creator>
  <cp:lastModifiedBy>ASUS</cp:lastModifiedBy>
  <dcterms:modified xsi:type="dcterms:W3CDTF">2020-05-15T07:36:18Z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