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fill="FFFFFF"/>
        </w:rPr>
        <w:t>招聘岗位、人数和要求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559"/>
        <w:gridCol w:w="382"/>
        <w:gridCol w:w="709"/>
        <w:gridCol w:w="652"/>
        <w:gridCol w:w="532"/>
        <w:gridCol w:w="1134"/>
        <w:gridCol w:w="1787"/>
        <w:gridCol w:w="651"/>
        <w:gridCol w:w="55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2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专业技术或职业技能资格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编内/编外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刑法专业教师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40周岁及以下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刑法学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民商法专业教师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民商法学</w:t>
            </w: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经济法专业教师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行政执行专业教师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行政法行政诉讼法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副教授及以上职称或有3年以上相关工作经历者优先考虑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社区矫正专业教师</w:t>
            </w:r>
          </w:p>
        </w:tc>
        <w:tc>
          <w:tcPr>
            <w:tcW w:w="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监狱学</w:t>
            </w: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社会工作专业教师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社会工作方向</w:t>
            </w: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4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专业带头人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博士 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网络安全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1.具有教授级高级工程师职称者优先。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2.具有3年以上网络攻防、系统安全及网络渗透等技术从业经验，并取得CISP或CISSP认证者优先，取得网络空间安全大赛国家级奖项优先。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有3年以上从事高等职业教育相关专业研究经验，有较强的学术研究能力，在国内外核心期刊发表过3篇以上信息安全相关论文者优先。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4.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具有技术研发能力，主持或参与过信息安全相关技术革新、技术改造项目，并获得省级以上研究成果者优先。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编内</w:t>
            </w: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4608"/>
    <w:rsid w:val="434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秋叶夏花</dc:creator>
  <cp:lastModifiedBy>秋叶夏花</cp:lastModifiedBy>
  <dcterms:modified xsi:type="dcterms:W3CDTF">2020-05-20T07:01:13Z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