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/>
          <w:w w:val="72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w w:val="72"/>
          <w:szCs w:val="21"/>
        </w:rPr>
        <w:t>附件2</w:t>
      </w:r>
    </w:p>
    <w:p>
      <w:pPr>
        <w:jc w:val="center"/>
        <w:rPr>
          <w:rFonts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江苏省2020年度考试录用公务员</w:t>
      </w:r>
    </w:p>
    <w:p>
      <w:pPr>
        <w:jc w:val="center"/>
        <w:rPr>
          <w:rFonts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201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</w:rPr>
              <w:t>9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</w:rPr>
              <w:t>10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ind w:firstLine="840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-10"/>
          <w:sz w:val="44"/>
          <w:szCs w:val="44"/>
        </w:rPr>
        <w:br w:type="page"/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60288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cjbgdcAAAAKAQAADwAAAAAAAAABACAAAAAiAAAAZHJzL2Rvd25yZXYueG1sUEsBAhQAFAAAAAgA&#10;h07iQHrSAhhfAgAAzgYAAA4AAAAAAAAAAQAgAAAAJgEAAGRycy9lMm9Eb2MueG1sUEsFBgAAAAAG&#10;AAYAWQEAAPcFAAAAAA=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hint="eastAsia" w:ascii="Helvetica" w:hAnsi="Helvetica"/>
                <w:color w:val="333333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 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rPr>
          <w:color w:val="000000"/>
        </w:rPr>
      </w:pPr>
    </w:p>
    <w:p/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0"/>
    <w:rsid w:val="002A7435"/>
    <w:rsid w:val="004A3DEA"/>
    <w:rsid w:val="005162F3"/>
    <w:rsid w:val="006C5F63"/>
    <w:rsid w:val="00CE747A"/>
    <w:rsid w:val="00E12350"/>
    <w:rsid w:val="271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3363</Words>
  <Characters>19170</Characters>
  <Lines>159</Lines>
  <Paragraphs>44</Paragraphs>
  <TotalTime>4</TotalTime>
  <ScaleCrop>false</ScaleCrop>
  <LinksUpToDate>false</LinksUpToDate>
  <CharactersWithSpaces>22489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2020-05-22T01:28:00Z</dcterms:created>
  <dc:creator>NTKO</dc:creator>
  <cp:lastModifiedBy>Administrator</cp:lastModifiedBy>
  <dcterms:modified xsi:type="dcterms:W3CDTF">2020-05-25T10:56:32Z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