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535353"/>
          <w:spacing w:val="0"/>
          <w:sz w:val="16"/>
          <w:szCs w:val="16"/>
        </w:rPr>
      </w:pPr>
      <w:r>
        <w:rPr>
          <w:rFonts w:ascii="方正黑体_gbk" w:hAnsi="方正黑体_gbk" w:eastAsia="方正黑体_gbk" w:cs="方正黑体_gbk"/>
          <w:i w:val="0"/>
          <w:caps w:val="0"/>
          <w:color w:val="535353"/>
          <w:spacing w:val="0"/>
          <w:sz w:val="25"/>
          <w:szCs w:val="25"/>
          <w:bdr w:val="none" w:color="auto" w:sz="0" w:space="0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535353"/>
          <w:spacing w:val="0"/>
          <w:sz w:val="16"/>
          <w:szCs w:val="16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535353"/>
          <w:spacing w:val="0"/>
          <w:sz w:val="34"/>
          <w:szCs w:val="34"/>
          <w:bdr w:val="none" w:color="auto" w:sz="0" w:space="0"/>
        </w:rPr>
        <w:t>重庆市黔江中心医院2020年人才需求信息</w:t>
      </w:r>
    </w:p>
    <w:tbl>
      <w:tblPr>
        <w:tblW w:w="7764" w:type="dxa"/>
        <w:tblCellSpacing w:w="0" w:type="dxa"/>
        <w:tblInd w:w="1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38"/>
        <w:gridCol w:w="710"/>
        <w:gridCol w:w="1552"/>
        <w:gridCol w:w="2602"/>
        <w:gridCol w:w="650"/>
        <w:gridCol w:w="71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tblCellSpacing w:w="0" w:type="dxa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科室</w:t>
            </w:r>
          </w:p>
        </w:tc>
        <w:tc>
          <w:tcPr>
            <w:tcW w:w="5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岗位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专业</w:t>
            </w:r>
          </w:p>
        </w:tc>
        <w:tc>
          <w:tcPr>
            <w:tcW w:w="21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学历</w:t>
            </w:r>
          </w:p>
        </w:tc>
        <w:tc>
          <w:tcPr>
            <w:tcW w:w="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需求人数</w:t>
            </w:r>
          </w:p>
        </w:tc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12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普外科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医师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普外科专业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全日制普通高校临床型医学博士研究生并取得相应学历学位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12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心血管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内科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医师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心血管内科专业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全日制普通高校临床型医学博士研究生并取得相应学历学位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12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消化内科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医师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消化内科专业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全日制普通高校临床型医学博士研究生并取得相应学历学位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12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肿瘤科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医师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肿瘤科专业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全日制普通高校临床型医学博士研究生并取得相应学历学位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12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消化内科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医师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消化、普外专业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全日制研究生学历，并取得硕士及以上学位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12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呼吸感染病区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医师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呼吸、感染专业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各1人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全日制研究生学历，并取得硕士及以上学位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12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妇科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医师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妇产科专业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全日制研究生学历，并取得硕士及以上学位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12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产科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医师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妇产科专业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全日制研究生学历，并取得硕士及以上学位（学术型）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12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重症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医学科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医师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重症医学或内科专业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全日制研究生学历，并取得硕士及以上学位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12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病理科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医师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病理或西医类临床医学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全日制研究生学历，并取得硕士及以上学位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tblCellSpacing w:w="0" w:type="dxa"/>
        </w:trPr>
        <w:tc>
          <w:tcPr>
            <w:tcW w:w="12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检验科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医师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医学检验或临床检验诊断学专业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全日制研究生学历，并取得硕士及以上学位（本科需为医学检验或临床检验诊断学专业）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tblCellSpacing w:w="0" w:type="dxa"/>
        </w:trPr>
        <w:tc>
          <w:tcPr>
            <w:tcW w:w="12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老年病科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（内分泌科）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医师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医学影像专业（核医学方向）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全日制本科及以上学历，并取得相应学位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12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康复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医学科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技师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针灸推拿专业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全日制本科及以上学历，并取得相应学位。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12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儿童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康复科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技师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康复治疗技术专业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全日制本科及以上学历，并取得相应学位。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12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眼科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医师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眼底病，眼底外科方向优先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全日制研究生学历，并取得硕士及以上学位。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12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超声科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医师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医学影像学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全日制研究生学历，并取得硕士及以上学位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12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放射科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影像诊断医师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医学影像学专业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全日制研究生学历，并取得硕士及以上学位，博士优先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tblCellSpacing w:w="0" w:type="dxa"/>
        </w:trPr>
        <w:tc>
          <w:tcPr>
            <w:tcW w:w="12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检验科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技师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医学检验专业或临床检验诊断学专业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全日制本科及以上学历，并取得相应学位。取得住培结业证者优先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  <w:tblCellSpacing w:w="0" w:type="dxa"/>
        </w:trPr>
        <w:tc>
          <w:tcPr>
            <w:tcW w:w="12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输血科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技师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输血、医学检验、医学检验技术专业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全日制本科及以上学历，并取得相应学位。取得住培结业证者优先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3" w:hRule="atLeast"/>
          <w:tblCellSpacing w:w="0" w:type="dxa"/>
        </w:trPr>
        <w:tc>
          <w:tcPr>
            <w:tcW w:w="12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放射科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介入诊疗医师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全日制本科及以上学历，并取得相应学位，取得住培结业证者优先。硕士学历、从事介入专业者优先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12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放射科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技师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医学影像技术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全日制本科及以上学历，并取得相应学位。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12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超声科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医师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医学影像学专业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全日制本科及以上学历，并取得相应学位。取得住培结业证者优先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tblCellSpacing w:w="0" w:type="dxa"/>
        </w:trPr>
        <w:tc>
          <w:tcPr>
            <w:tcW w:w="12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药学部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药师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药学专业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全日制本科及以上学历，并取得相应学位。硕士学历优先。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  <w:tblCellSpacing w:w="0" w:type="dxa"/>
        </w:trPr>
        <w:tc>
          <w:tcPr>
            <w:tcW w:w="12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临床护士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护理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护理专业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全日制本科及以上学历，并取得相应学位，取得规培结业证者优先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20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t>身高155cM及以上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12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合计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16"/>
                <w:szCs w:val="16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51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16"/>
                <w:szCs w:val="16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方正黑体_gbk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FE04D8"/>
    <w:rsid w:val="31FE04D8"/>
    <w:rsid w:val="67AA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2020-06-28T02:39:00Z</dcterms:created>
  <dc:creator>ぺ灬cc果冻ル</dc:creator>
  <cp:lastModifiedBy>ぺ灬cc果冻ル</cp:lastModifiedBy>
  <dcterms:modified xsi:type="dcterms:W3CDTF">2020-06-28T02:41:17Z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