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32" w:rsidRPr="00C23A32" w:rsidRDefault="00C23A32" w:rsidP="00C23A32">
      <w:pPr>
        <w:widowControl/>
        <w:shd w:val="clear" w:color="auto" w:fill="EDFBFC"/>
        <w:jc w:val="left"/>
        <w:rPr>
          <w:rFonts w:ascii="宋体" w:eastAsia="宋体" w:hAnsi="宋体" w:cs="宋体"/>
          <w:color w:val="383838"/>
          <w:kern w:val="0"/>
          <w:sz w:val="18"/>
          <w:szCs w:val="18"/>
        </w:rPr>
      </w:pPr>
      <w:r w:rsidRPr="00C23A32">
        <w:rPr>
          <w:rFonts w:ascii="仿宋_GB2312" w:eastAsia="仿宋_GB2312" w:hAnsi="宋体" w:cs="宋体" w:hint="eastAsia"/>
          <w:color w:val="383838"/>
          <w:kern w:val="0"/>
          <w:sz w:val="24"/>
          <w:szCs w:val="24"/>
        </w:rPr>
        <w:t>附件：</w:t>
      </w:r>
    </w:p>
    <w:p w:rsidR="00C23A32" w:rsidRPr="00C23A32" w:rsidRDefault="00C23A32" w:rsidP="00C23A32">
      <w:pPr>
        <w:widowControl/>
        <w:shd w:val="clear" w:color="auto" w:fill="EDFBFC"/>
        <w:jc w:val="left"/>
        <w:rPr>
          <w:rFonts w:ascii="宋体" w:eastAsia="宋体" w:hAnsi="宋体" w:cs="宋体" w:hint="eastAsia"/>
          <w:color w:val="383838"/>
          <w:kern w:val="0"/>
          <w:sz w:val="18"/>
          <w:szCs w:val="18"/>
        </w:rPr>
      </w:pPr>
      <w:bookmarkStart w:id="0" w:name="_GoBack"/>
      <w:r w:rsidRPr="00C23A32">
        <w:rPr>
          <w:rFonts w:ascii="仿宋_GB2312" w:eastAsia="仿宋_GB2312" w:hAnsi="宋体" w:cs="宋体" w:hint="eastAsia"/>
          <w:color w:val="383838"/>
          <w:kern w:val="0"/>
          <w:sz w:val="24"/>
          <w:szCs w:val="24"/>
        </w:rPr>
        <w:t>温州医科大学附属第二医院、育英儿童医院第二轮公开招聘计划表</w:t>
      </w:r>
    </w:p>
    <w:tbl>
      <w:tblPr>
        <w:tblW w:w="10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306"/>
        <w:gridCol w:w="1126"/>
        <w:gridCol w:w="555"/>
        <w:gridCol w:w="1381"/>
        <w:gridCol w:w="1936"/>
        <w:gridCol w:w="2341"/>
        <w:gridCol w:w="795"/>
        <w:gridCol w:w="825"/>
      </w:tblGrid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届别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神经病学及相关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儿童急诊与重症医学科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创伤骨科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骨外科学、外科学（骨科方向）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脊柱外科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骨外科学、外科学（骨科方向）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外科学、儿科学（外科方向）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急诊医学、危重病医学及相关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听力室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三甲医院高级职称及以上人员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</w:t>
            </w: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ET4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其中2人为颌面外科方向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营养与食品卫生学、临床医学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副高及以上人员，从事营养方面相关工作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</w:tr>
      <w:tr w:rsidR="00C23A32" w:rsidRPr="00C23A32" w:rsidTr="00C23A32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3A32" w:rsidRPr="00C23A32" w:rsidTr="00C23A32">
        <w:trPr>
          <w:jc w:val="center"/>
        </w:trPr>
        <w:tc>
          <w:tcPr>
            <w:tcW w:w="108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32" w:rsidRPr="00C23A32" w:rsidRDefault="00C23A32" w:rsidP="00C23A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1.岗位中有职称要求的必须符合规定才能报名，且</w:t>
            </w:r>
            <w:proofErr w:type="gramStart"/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须从事跟</w:t>
            </w:r>
            <w:proofErr w:type="gramEnd"/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报名岗位一致的临床工作，另外需要提供原单位的评聘材料（专业技术职务评审表、专业技术职务证书、聘任文件、档案工资表等）；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2.除特别注明的岗位，其余均要求为2020年应届毕业生，通过CET6；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3.博士岗位全年开放招聘，</w:t>
            </w:r>
            <w:proofErr w:type="gramStart"/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不受届别限制</w:t>
            </w:r>
            <w:proofErr w:type="gramEnd"/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，原则上要求通过CET6，特殊情况可以放开；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4.专业技术资格人员一般要求于1984年7月14日（含当日）之后出生，博士或副高级专业技术资格人员一般要求于1974年7月14日（含当日）之后出生；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5.临床七年制和肿瘤学硕士及以上研究生可以报考相关专业的岗位；</w:t>
            </w:r>
            <w:r w:rsidRPr="00C23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6.招聘至临床岗位的硕士研究生，必须在5年内取得并聘任主治医师职称或5年内考取并就读博士，未达到此规定者解除聘用合同。</w:t>
            </w:r>
          </w:p>
        </w:tc>
      </w:tr>
    </w:tbl>
    <w:p w:rsidR="00FD2540" w:rsidRPr="00C23A32" w:rsidRDefault="00FD2540" w:rsidP="00C23A32"/>
    <w:sectPr w:rsidR="00FD2540" w:rsidRPr="00C2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290B91"/>
    <w:rsid w:val="00305231"/>
    <w:rsid w:val="00312CB8"/>
    <w:rsid w:val="0043172C"/>
    <w:rsid w:val="004F3F1B"/>
    <w:rsid w:val="0060716E"/>
    <w:rsid w:val="00667051"/>
    <w:rsid w:val="009F415B"/>
    <w:rsid w:val="00A80CFE"/>
    <w:rsid w:val="00B61294"/>
    <w:rsid w:val="00C23A32"/>
    <w:rsid w:val="00CF692C"/>
    <w:rsid w:val="00DE6D4F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2020-07-14T05:56:00Z</dcterms:created>
  <dcterms:modified xsi:type="dcterms:W3CDTF">2020-07-14T05:56:00Z</dcterms:modified>
</cp:coreProperties>
</file>