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rPr>
          <w:rFonts w:ascii="微软雅黑" w:hAnsi="微软雅黑" w:eastAsia="微软雅黑" w:cs="微软雅黑"/>
          <w:sz w:val="17"/>
          <w:szCs w:val="17"/>
        </w:rPr>
      </w:pPr>
      <w:bookmarkStart w:id="0" w:name="_GoBack"/>
      <w:r>
        <w:rPr>
          <w:rFonts w:hint="eastAsia" w:ascii="黑体" w:hAnsi="宋体" w:eastAsia="黑体" w:cs="黑体"/>
          <w:b w:val="0"/>
          <w:color w:val="333333"/>
          <w:kern w:val="0"/>
          <w:sz w:val="25"/>
          <w:szCs w:val="25"/>
          <w:bdr w:val="none" w:color="auto" w:sz="0" w:space="0"/>
          <w:lang w:val="en-US" w:eastAsia="zh-CN" w:bidi="ar"/>
        </w:rPr>
        <w:t>芜湖高新技术产业开发区管委会规划建设部招聘</w:t>
      </w:r>
      <w:r>
        <w:rPr>
          <w:rFonts w:ascii="仿宋_GB2312" w:hAnsi="微软雅黑" w:eastAsia="仿宋_GB2312" w:cs="仿宋_GB2312"/>
          <w:color w:val="333333"/>
          <w:sz w:val="26"/>
          <w:szCs w:val="26"/>
        </w:rPr>
        <w:t>岗位</w:t>
      </w:r>
      <w:bookmarkEnd w:id="0"/>
      <w:r>
        <w:rPr>
          <w:rFonts w:ascii="仿宋_GB2312" w:hAnsi="微软雅黑" w:eastAsia="仿宋_GB2312" w:cs="仿宋_GB2312"/>
          <w:color w:val="333333"/>
          <w:sz w:val="26"/>
          <w:szCs w:val="26"/>
        </w:rPr>
        <w:t>要求详见下表：</w:t>
      </w:r>
      <w:r>
        <w:rPr>
          <w:rFonts w:hint="default" w:ascii="仿宋_GB2312" w:hAnsi="微软雅黑" w:eastAsia="仿宋_GB2312" w:cs="仿宋_GB2312"/>
          <w:color w:val="333333"/>
          <w:sz w:val="26"/>
          <w:szCs w:val="26"/>
        </w:rPr>
        <w:t> </w:t>
      </w:r>
    </w:p>
    <w:tbl>
      <w:tblPr>
        <w:tblW w:w="736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28"/>
        <w:gridCol w:w="1090"/>
        <w:gridCol w:w="806"/>
        <w:gridCol w:w="806"/>
        <w:gridCol w:w="883"/>
        <w:gridCol w:w="1171"/>
        <w:gridCol w:w="806"/>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3" w:hRule="atLeast"/>
          <w:tblCellSpacing w:w="0" w:type="dxa"/>
        </w:trPr>
        <w:tc>
          <w:tcPr>
            <w:tcW w:w="1014"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单位</w:t>
            </w:r>
          </w:p>
        </w:tc>
        <w:tc>
          <w:tcPr>
            <w:tcW w:w="1453"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职位</w:t>
            </w:r>
          </w:p>
        </w:tc>
        <w:tc>
          <w:tcPr>
            <w:tcW w:w="551"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人数</w:t>
            </w:r>
          </w:p>
        </w:tc>
        <w:tc>
          <w:tcPr>
            <w:tcW w:w="426"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性别</w:t>
            </w:r>
          </w:p>
        </w:tc>
        <w:tc>
          <w:tcPr>
            <w:tcW w:w="1215"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学历</w:t>
            </w:r>
          </w:p>
        </w:tc>
        <w:tc>
          <w:tcPr>
            <w:tcW w:w="1966"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专业</w:t>
            </w:r>
          </w:p>
        </w:tc>
        <w:tc>
          <w:tcPr>
            <w:tcW w:w="538"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年龄</w:t>
            </w:r>
          </w:p>
        </w:tc>
        <w:tc>
          <w:tcPr>
            <w:tcW w:w="1165"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4" w:hRule="atLeast"/>
          <w:tblCellSpacing w:w="0" w:type="dxa"/>
        </w:trPr>
        <w:tc>
          <w:tcPr>
            <w:tcW w:w="1014" w:type="dxa"/>
            <w:vMerge w:val="restart"/>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513"/>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芜湖高新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513"/>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技术产业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513"/>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开发区管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513"/>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委会规划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513"/>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建设部</w:t>
            </w:r>
          </w:p>
        </w:tc>
        <w:tc>
          <w:tcPr>
            <w:tcW w:w="1453"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工程管理岗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（重点工程一）</w:t>
            </w:r>
          </w:p>
        </w:tc>
        <w:tc>
          <w:tcPr>
            <w:tcW w:w="551"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restart"/>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限</w:t>
            </w:r>
          </w:p>
        </w:tc>
        <w:tc>
          <w:tcPr>
            <w:tcW w:w="1215" w:type="dxa"/>
            <w:vMerge w:val="restart"/>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本科及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并具备相应学位</w:t>
            </w:r>
          </w:p>
        </w:tc>
        <w:tc>
          <w:tcPr>
            <w:tcW w:w="1966" w:type="dxa"/>
            <w:tcBorders>
              <w:top w:val="single" w:color="DDDDDD" w:sz="4" w:space="0"/>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601"/>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建筑学</w:t>
            </w:r>
          </w:p>
        </w:tc>
        <w:tc>
          <w:tcPr>
            <w:tcW w:w="538" w:type="dxa"/>
            <w:vMerge w:val="restart"/>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下</w:t>
            </w:r>
          </w:p>
        </w:tc>
        <w:tc>
          <w:tcPr>
            <w:tcW w:w="1165" w:type="dxa"/>
            <w:vMerge w:val="restart"/>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需常驻施工现场，建议男性报考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tblCellSpacing w:w="0" w:type="dxa"/>
        </w:trPr>
        <w:tc>
          <w:tcPr>
            <w:tcW w:w="1014" w:type="dxa"/>
            <w:vMerge w:val="continue"/>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453"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工程管理岗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（市政工程）</w:t>
            </w:r>
          </w:p>
        </w:tc>
        <w:tc>
          <w:tcPr>
            <w:tcW w:w="551"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21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966"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土木类相关专业</w:t>
            </w:r>
          </w:p>
        </w:tc>
        <w:tc>
          <w:tcPr>
            <w:tcW w:w="538"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16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9" w:hRule="atLeast"/>
          <w:tblCellSpacing w:w="0" w:type="dxa"/>
        </w:trPr>
        <w:tc>
          <w:tcPr>
            <w:tcW w:w="1014" w:type="dxa"/>
            <w:vMerge w:val="continue"/>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453"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工程管理岗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（绿化工程）</w:t>
            </w:r>
          </w:p>
        </w:tc>
        <w:tc>
          <w:tcPr>
            <w:tcW w:w="551"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21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966"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园林</w:t>
            </w:r>
          </w:p>
        </w:tc>
        <w:tc>
          <w:tcPr>
            <w:tcW w:w="538"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16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9" w:hRule="atLeast"/>
          <w:tblCellSpacing w:w="0" w:type="dxa"/>
        </w:trPr>
        <w:tc>
          <w:tcPr>
            <w:tcW w:w="1014" w:type="dxa"/>
            <w:vMerge w:val="continue"/>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453"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工程管理岗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pacing w:val="0"/>
                <w:sz w:val="20"/>
                <w:szCs w:val="20"/>
                <w:bdr w:val="none" w:color="auto" w:sz="0" w:space="0"/>
              </w:rPr>
              <w:t>（</w:t>
            </w:r>
            <w:r>
              <w:rPr>
                <w:rFonts w:hint="default" w:ascii="仿宋_GB2312" w:hAnsi="微软雅黑" w:eastAsia="仿宋_GB2312" w:cs="仿宋_GB2312"/>
                <w:color w:val="333333"/>
                <w:sz w:val="20"/>
                <w:szCs w:val="20"/>
                <w:bdr w:val="none" w:color="auto" w:sz="0" w:space="0"/>
              </w:rPr>
              <w:t>前期规划</w:t>
            </w:r>
            <w:r>
              <w:rPr>
                <w:rFonts w:hint="default" w:ascii="仿宋_GB2312" w:hAnsi="微软雅黑" w:eastAsia="仿宋_GB2312" w:cs="仿宋_GB2312"/>
                <w:color w:val="333333"/>
                <w:spacing w:val="0"/>
                <w:sz w:val="20"/>
                <w:szCs w:val="20"/>
                <w:bdr w:val="none" w:color="auto" w:sz="0" w:space="0"/>
              </w:rPr>
              <w:t>）</w:t>
            </w:r>
          </w:p>
        </w:tc>
        <w:tc>
          <w:tcPr>
            <w:tcW w:w="551"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215" w:type="dxa"/>
            <w:vMerge w:val="restart"/>
            <w:tcBorders>
              <w:top w:val="nil"/>
              <w:left w:val="nil"/>
              <w:bottom w:val="nil"/>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大专及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学历</w:t>
            </w:r>
          </w:p>
        </w:tc>
        <w:tc>
          <w:tcPr>
            <w:tcW w:w="1966"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专科专业：城乡规划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本科专业：城乡规划</w:t>
            </w:r>
          </w:p>
        </w:tc>
        <w:tc>
          <w:tcPr>
            <w:tcW w:w="538"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16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9" w:hRule="atLeast"/>
          <w:tblCellSpacing w:w="0" w:type="dxa"/>
        </w:trPr>
        <w:tc>
          <w:tcPr>
            <w:tcW w:w="1014" w:type="dxa"/>
            <w:vMerge w:val="continue"/>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453"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工程技术岗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（重点工程二）</w:t>
            </w:r>
          </w:p>
        </w:tc>
        <w:tc>
          <w:tcPr>
            <w:tcW w:w="551"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215" w:type="dxa"/>
            <w:vMerge w:val="continue"/>
            <w:tcBorders>
              <w:top w:val="nil"/>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966"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专科专业：建筑工程 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本科专业：建筑学</w:t>
            </w:r>
          </w:p>
        </w:tc>
        <w:tc>
          <w:tcPr>
            <w:tcW w:w="538"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16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9" w:hRule="atLeast"/>
          <w:tblCellSpacing w:w="0" w:type="dxa"/>
        </w:trPr>
        <w:tc>
          <w:tcPr>
            <w:tcW w:w="1014" w:type="dxa"/>
            <w:vMerge w:val="continue"/>
            <w:tcBorders>
              <w:top w:val="single" w:color="DDDDDD" w:sz="4" w:space="0"/>
              <w:left w:val="single" w:color="DDDDDD" w:sz="4" w:space="0"/>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453"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工程技术岗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（工程造价）</w:t>
            </w:r>
          </w:p>
        </w:tc>
        <w:tc>
          <w:tcPr>
            <w:tcW w:w="551"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1</w:t>
            </w:r>
          </w:p>
        </w:tc>
        <w:tc>
          <w:tcPr>
            <w:tcW w:w="426"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215" w:type="dxa"/>
            <w:vMerge w:val="continue"/>
            <w:tcBorders>
              <w:top w:val="nil"/>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966" w:type="dxa"/>
            <w:tcBorders>
              <w:top w:val="nil"/>
              <w:left w:val="nil"/>
              <w:bottom w:val="single" w:color="DDDDDD" w:sz="4" w:space="0"/>
              <w:right w:val="single" w:color="DDDDDD"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专科专业：工程造价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center"/>
              <w:rPr>
                <w:rFonts w:hint="eastAsia" w:ascii="微软雅黑" w:hAnsi="微软雅黑" w:eastAsia="微软雅黑" w:cs="微软雅黑"/>
                <w:sz w:val="17"/>
                <w:szCs w:val="17"/>
              </w:rPr>
            </w:pPr>
            <w:r>
              <w:rPr>
                <w:rFonts w:hint="default" w:ascii="仿宋_GB2312" w:hAnsi="微软雅黑" w:eastAsia="仿宋_GB2312" w:cs="仿宋_GB2312"/>
                <w:color w:val="333333"/>
                <w:sz w:val="20"/>
                <w:szCs w:val="20"/>
                <w:bdr w:val="none" w:color="auto" w:sz="0" w:space="0"/>
              </w:rPr>
              <w:t>本科专业：工程造价</w:t>
            </w:r>
          </w:p>
        </w:tc>
        <w:tc>
          <w:tcPr>
            <w:tcW w:w="538"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c>
          <w:tcPr>
            <w:tcW w:w="1165" w:type="dxa"/>
            <w:vMerge w:val="continue"/>
            <w:tcBorders>
              <w:top w:val="single" w:color="DDDDDD" w:sz="4" w:space="0"/>
              <w:left w:val="nil"/>
              <w:bottom w:val="nil"/>
              <w:right w:val="single" w:color="DDDDDD" w:sz="4" w:space="0"/>
            </w:tcBorders>
            <w:shd w:val="clear" w:color="auto" w:fill="FFFFFF"/>
            <w:tcMar>
              <w:top w:w="0" w:type="dxa"/>
              <w:left w:w="88" w:type="dxa"/>
              <w:bottom w:w="0" w:type="dxa"/>
              <w:right w:w="88" w:type="dxa"/>
            </w:tcMar>
            <w:vAlign w:val="center"/>
          </w:tcPr>
          <w:p>
            <w:pPr>
              <w:rPr>
                <w:rFonts w:hint="eastAsia" w:ascii="微软雅黑" w:hAnsi="微软雅黑" w:eastAsia="微软雅黑" w:cs="微软雅黑"/>
                <w:color w:val="333333"/>
                <w:sz w:val="15"/>
                <w:szCs w:val="15"/>
              </w:rPr>
            </w:pPr>
          </w:p>
        </w:tc>
      </w:tr>
    </w:tbl>
    <w:p>
      <w:pPr>
        <w:pStyle w:val="2"/>
        <w:keepNext w:val="0"/>
        <w:keepLines w:val="0"/>
        <w:widowControl/>
        <w:suppressLineNumbers w:val="0"/>
        <w:spacing w:before="0" w:beforeAutospacing="0" w:after="252" w:afterAutospacing="0" w:line="501" w:lineRule="atLeast"/>
        <w:ind w:left="0" w:right="0" w:firstLine="263"/>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“年龄”要求35周岁以下系指1985年9月及以后出生。</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有下列情形之一的人员，不得报考：</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1、不符合招聘岗位条件要求的人员；</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2、在读的高校毕业生；</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3、我区在职编外聘用人员（如有隐瞒个人情况报考的，一经发现取消录用资格）；</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4、现役军人；</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5、尚未解除纪律处分或者正在接受纪律审查的人员；</w:t>
      </w:r>
    </w:p>
    <w:p>
      <w:pPr>
        <w:pStyle w:val="2"/>
        <w:keepNext w:val="0"/>
        <w:keepLines w:val="0"/>
        <w:widowControl/>
        <w:suppressLineNumbers w:val="0"/>
        <w:spacing w:before="0" w:beforeAutospacing="0" w:after="252" w:afterAutospacing="0" w:line="501" w:lineRule="atLeast"/>
        <w:ind w:left="0" w:right="0" w:firstLine="538"/>
        <w:rPr>
          <w:rFonts w:hint="eastAsia" w:ascii="微软雅黑" w:hAnsi="微软雅黑" w:eastAsia="微软雅黑" w:cs="微软雅黑"/>
          <w:sz w:val="17"/>
          <w:szCs w:val="17"/>
        </w:rPr>
      </w:pPr>
      <w:r>
        <w:rPr>
          <w:rFonts w:hint="default" w:ascii="仿宋_GB2312" w:hAnsi="微软雅黑" w:eastAsia="仿宋_GB2312" w:cs="仿宋_GB2312"/>
          <w:color w:val="333333"/>
          <w:sz w:val="26"/>
          <w:szCs w:val="26"/>
        </w:rPr>
        <w:t>6、经人力资源社会保障部门认定具有考试违纪行为且在停考期内的人员。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D31C3"/>
    <w:rsid w:val="719D3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21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333333"/>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ascii="monospace" w:hAnsi="monospace" w:eastAsia="monospace" w:cs="monospace"/>
    </w:rPr>
  </w:style>
  <w:style w:type="character" w:customStyle="1" w:styleId="17">
    <w:name w:val="h"/>
    <w:basedOn w:val="4"/>
    <w:uiPriority w:val="0"/>
    <w:rPr>
      <w:color w:val="FF3300"/>
    </w:rPr>
  </w:style>
  <w:style w:type="character" w:customStyle="1" w:styleId="18">
    <w:name w:val="hover17"/>
    <w:basedOn w:val="4"/>
    <w:uiPriority w:val="0"/>
    <w:rPr>
      <w:shd w:val="clear" w:fill="F8F8F8"/>
    </w:rPr>
  </w:style>
  <w:style w:type="character" w:customStyle="1" w:styleId="19">
    <w:name w:val="hover37"/>
    <w:basedOn w:val="4"/>
    <w:uiPriority w:val="0"/>
    <w:rPr>
      <w:shd w:val="clear" w:fill="F8F8F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2020-09-03T05:24:00Z</dcterms:created>
  <dc:creator>ASUS</dc:creator>
  <cp:lastModifiedBy>ASUS</cp:lastModifiedBy>
  <dcterms:modified xsi:type="dcterms:W3CDTF">2020-09-03T05:25:07Z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