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2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058"/>
        <w:gridCol w:w="697"/>
        <w:gridCol w:w="4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学校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学科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人数</w:t>
            </w:r>
          </w:p>
        </w:tc>
        <w:tc>
          <w:tcPr>
            <w:tcW w:w="4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6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长兴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职教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中心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平面设计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1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1.专业要求：艺术设计、视觉传达设计、数字媒体艺术。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2.学历要求：全日制本科及以上学历。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文秘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1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1.专业要求：秘书学、文秘教育。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2.学历要求：全日制师范类本科及以上学历。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</w:trPr>
        <w:tc>
          <w:tcPr>
            <w:tcW w:w="6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长兴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技师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机械（钳工方向）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1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专业要求：机械设计制造及其自动化、机械工艺技术专业。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技能要求：具有钳工技师及以上职业资格，或个人（或辅导学生）在本专业全国职业院校技能大赛中获得二等奖及以上。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学历要求：全日制普通高校本科及以上学历。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机械（数控车工方向）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1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专业要求：机械设计制造及其自动化、机械工艺技术专业。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技能要求：具有数控车工技师及以上职业资格，或个人（或辅导学生）在本专业全国职业院校技能大赛中获得二等奖及以上。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学历要求：全日制普通高校本科及以上学历。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电子商务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1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专业要求：电子商务、市场营销、物流管理专业。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技能要求：具有电子商务员、电子商务师（或跨境电子商务师）及以上职业资格证书，或个人（或辅导学生）在本专业全国职业院校技能大赛中获得二等奖及以上。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学历要求：全日制普通高校本科及以上学历。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机械专业技能大赛教练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1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专业要求：数控技术、数控加工、机械设计制造及其自动化、机械工艺技术专业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技能要求：具有车工（或数控车工）技师及以上职业资格，且个人（或辅导学生）在本专业国家一类赛事或全国职业院校技能大赛中获一等奖（或前8名）。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宋体" w:eastAsia="仿宋_GB2312" w:cs="仿宋_GB2312"/>
                <w:color w:val="000000"/>
                <w:spacing w:val="12"/>
                <w:sz w:val="19"/>
                <w:szCs w:val="19"/>
              </w:rPr>
              <w:t>学历要求：大专及以上学历（技师学院高级工、技师班毕业分别视同大专、本科学历）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E7EC2"/>
    <w:rsid w:val="7B3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60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0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2020-11-11T09:01:00Z</dcterms:created>
  <dc:creator>ぺ灬cc果冻ル</dc:creator>
  <cp:lastModifiedBy>ぺ灬cc果冻ル</cp:lastModifiedBy>
  <dcterms:modified xsi:type="dcterms:W3CDTF">2020-11-11T09:02:11Z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