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"/>
        <w:gridCol w:w="490"/>
        <w:gridCol w:w="490"/>
        <w:gridCol w:w="519"/>
        <w:gridCol w:w="519"/>
        <w:gridCol w:w="490"/>
        <w:gridCol w:w="620"/>
        <w:gridCol w:w="620"/>
        <w:gridCol w:w="586"/>
        <w:gridCol w:w="596"/>
        <w:gridCol w:w="586"/>
        <w:gridCol w:w="586"/>
        <w:gridCol w:w="511"/>
        <w:gridCol w:w="726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号</w:t>
            </w:r>
          </w:p>
        </w:tc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单位</w:t>
            </w:r>
          </w:p>
        </w:tc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类别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等级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人数</w:t>
            </w:r>
          </w:p>
        </w:tc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对象</w:t>
            </w:r>
          </w:p>
        </w:tc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职责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户籍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专业技术资格要求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年龄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专业（代码）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学历是否要求全日制</w:t>
            </w:r>
          </w:p>
        </w:tc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大专</w:t>
            </w: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1 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  <w:color w:val="42424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区物业专项维修资金管理中心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专业技术岗位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十级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社会人员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  <w:color w:val="42424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负责全区住宅环境工程维保项目及资金审核等工作。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  <w:color w:val="42424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40周岁以下（1980年12月14日后出生）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环境科学与工程专业（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B082601）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环境工程专业（B082602）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i w:val="0"/>
                <w:color w:val="424242"/>
                <w:u w:val="none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否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i w:val="0"/>
                <w:color w:val="42424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  <w:color w:val="42424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具有环境工程与生态高级工程师职称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i w:val="0"/>
                <w:color w:val="42424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9"/>
                <w:szCs w:val="19"/>
                <w:u w:val="none"/>
                <w:bdr w:val="none" w:color="auto" w:sz="0" w:space="0"/>
              </w:rPr>
              <w:t>具有2年以上工作经验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D193C"/>
    <w:rsid w:val="13DD193C"/>
    <w:rsid w:val="623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2020-12-02T03:06:00Z</dcterms:created>
  <dc:creator>ぺ灬cc果冻ル</dc:creator>
  <cp:lastModifiedBy>ぺ灬cc果冻ル</cp:lastModifiedBy>
  <dcterms:modified xsi:type="dcterms:W3CDTF">2020-12-02T03:09:48Z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