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jc w:val="center"/>
        <w:tblCellMar>
          <w:left w:w="0" w:type="dxa"/>
          <w:right w:w="0" w:type="dxa"/>
        </w:tblCellMar>
        <w:tblLook w:val="04A0"/>
      </w:tblPr>
      <w:tblGrid>
        <w:gridCol w:w="3114"/>
        <w:gridCol w:w="6095"/>
      </w:tblGrid>
      <w:tr w:rsidR="00F56827" w:rsidRPr="00F56827" w:rsidTr="00F56827">
        <w:trPr>
          <w:trHeight w:val="351"/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岗位类别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总成绩计算方法</w:t>
            </w:r>
          </w:p>
        </w:tc>
      </w:tr>
      <w:tr w:rsidR="00F56827" w:rsidRPr="00F56827" w:rsidTr="00F56827">
        <w:trPr>
          <w:trHeight w:val="464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非音乐、体育、美术教学科研类专业技术岗位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课堂教学×50%+专业能力测试×30%+面试×20%</w:t>
            </w:r>
          </w:p>
        </w:tc>
      </w:tr>
      <w:tr w:rsidR="00F56827" w:rsidRPr="00F56827" w:rsidTr="00F56827">
        <w:trPr>
          <w:trHeight w:val="464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音乐、体育、美术教学科研类专业技术岗位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课堂教学×40%+专业能力测试×40%+面试×20%</w:t>
            </w:r>
          </w:p>
        </w:tc>
      </w:tr>
      <w:tr w:rsidR="00F56827" w:rsidRPr="00F56827" w:rsidTr="00F56827">
        <w:trPr>
          <w:trHeight w:val="916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其他专业技术岗位</w:t>
            </w:r>
          </w:p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和管理岗位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27" w:rsidRPr="00F56827" w:rsidRDefault="00F56827" w:rsidP="00F56827">
            <w:pPr>
              <w:adjustRightInd/>
              <w:snapToGrid/>
              <w:spacing w:after="0" w:line="315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F56827">
              <w:rPr>
                <w:rFonts w:ascii="仿宋" w:eastAsia="仿宋" w:hAnsi="仿宋" w:cs="宋体" w:hint="eastAsia"/>
                <w:sz w:val="28"/>
                <w:szCs w:val="28"/>
                <w:bdr w:val="none" w:sz="0" w:space="0" w:color="auto" w:frame="1"/>
              </w:rPr>
              <w:t>笔试×40%+业务能力测试×40%+面试×20%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6827"/>
    <w:rsid w:val="000712C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5682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2021-04-23T10:58:00Z</dcterms:created>
  <dcterms:modified xsi:type="dcterms:W3CDTF">2021-04-23T11:00:00Z</dcterms:modified>
</cp:coreProperties>
</file>