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微软雅黑" w:eastAsia="方正小标宋简体" w:cs="Helvetica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武陟县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2021年公开招聘</w:t>
      </w:r>
      <w:r>
        <w:rPr>
          <w:rFonts w:hint="eastAsia" w:ascii="方正小标宋简体" w:hAnsi="微软雅黑" w:eastAsia="方正小标宋简体" w:cs="Helvetica"/>
          <w:sz w:val="44"/>
          <w:szCs w:val="44"/>
          <w:lang w:eastAsia="zh-CN"/>
        </w:rPr>
        <w:t>聘用制公立幼儿园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eastAsia="zh-CN"/>
        </w:rPr>
        <w:t>教师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考试疫情防控须知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一、考生参考的健康要求</w:t>
      </w:r>
    </w:p>
    <w:p>
      <w:pPr>
        <w:widowControl/>
        <w:ind w:firstLine="66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（一）健康码为绿码，通信大数据行程卡显示无异常；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（二）提供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前72小时内新冠肺炎病毒核酸检测阴性证明、且现场体温测量正常（＜37.3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）、无新冠肺炎相关症状；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在考试全程应当佩戴一次性医用口罩（除核验身份时按要求及时摘戴口罩外）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二、不得参加考试的情形</w:t>
      </w:r>
    </w:p>
    <w:p>
      <w:pPr>
        <w:widowControl/>
        <w:ind w:firstLine="629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（一）健康码为黄码或红码的；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（二）不能提供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前72小时内新冠肺炎病毒核酸检测阴性证明的；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（四）考前14天内被判定为新冠病毒感染者的密切接触者、密接的密接（次密切接触者）；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（五）考前21天内与已公布的确诊病例、无症状感染者活动轨迹有交集的；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（七）考前14天内有国内中高风险区域旅居史的；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（八）考前21天内有境外或港澳台旅居史的；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>
      <w:pPr>
        <w:widowControl/>
        <w:ind w:firstLine="64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三、温馨提醒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（一）请广大考生提前做好自我健康管理，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注意个人卫生，加强营养和合理休息，以良好心态和身体素质参加考试，避免出现发热、咳嗽等异常症状。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要采取合适的出行方式前往考点，并做好防护措施。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（二）考试日前21天内，尽量不跨区域流动，避免在国内疫情中高风险地区或国（境）外、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港澳台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旅居。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（三）考生应提前下载《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武陟县</w:t>
      </w:r>
      <w:r>
        <w:rPr>
          <w:rFonts w:ascii="Times New Roman" w:hAnsi="Times New Roman" w:eastAsia="仿宋_GB2312" w:cs="Times New Roman"/>
          <w:sz w:val="32"/>
          <w:szCs w:val="32"/>
        </w:rPr>
        <w:t>2021年公开招聘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聘用制公立幼儿园教师</w:t>
      </w:r>
      <w:r>
        <w:rPr>
          <w:rFonts w:ascii="Times New Roman" w:hAnsi="Times New Roman" w:eastAsia="仿宋_GB2312" w:cs="Times New Roman"/>
          <w:sz w:val="32"/>
          <w:szCs w:val="32"/>
        </w:rPr>
        <w:t>考生健康体温监测登记表及承诺书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前14天开始启动体温监测，并在《</w:t>
      </w:r>
      <w:r>
        <w:rPr>
          <w:rFonts w:ascii="Times New Roman" w:hAnsi="Times New Roman" w:eastAsia="仿宋_GB2312" w:cs="Times New Roman"/>
          <w:sz w:val="32"/>
          <w:szCs w:val="32"/>
        </w:rPr>
        <w:t>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》上如实记录，如有异常情况，及时向所在单位或社区防疫部门报告。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（四）考生应至少提前1.5小时到达考点。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信息，提交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开考时间前72小时内新冠肺炎病毒核酸检测阴性证明和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武陟县</w:t>
      </w:r>
      <w:r>
        <w:rPr>
          <w:rFonts w:ascii="Times New Roman" w:hAnsi="Times New Roman" w:eastAsia="仿宋_GB2312" w:cs="Times New Roman"/>
          <w:sz w:val="32"/>
          <w:szCs w:val="32"/>
        </w:rPr>
        <w:t>2021年公开招聘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聘用制幼儿园教师</w:t>
      </w:r>
      <w:r>
        <w:rPr>
          <w:rFonts w:ascii="Times New Roman" w:hAnsi="Times New Roman" w:eastAsia="仿宋_GB2312" w:cs="Times New Roman"/>
          <w:sz w:val="32"/>
          <w:szCs w:val="32"/>
        </w:rPr>
        <w:t>考生健康体温监测登记表及承诺书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，并按要求主动接受体温测量。不符合疫情防控有关要求的，不得进入考点，工作人员做好记录，由考生签字确认作为退费依据。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五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请考生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自备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医用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口罩，并按照防控要求科学佩戴口罩。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（六）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考试期间，出现发热（体温≥37.3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（七）考试期间，考生要自觉维护考试秩序，与其他考生保持安全距离，服从现场工作人员安排，考试结束后按规定有序离场。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82A02B6"/>
    <w:rsid w:val="18D4625B"/>
    <w:rsid w:val="56F05FFE"/>
    <w:rsid w:val="72D8701B"/>
    <w:rsid w:val="7D7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1046</Characters>
  <Lines>8</Lines>
  <Paragraphs>2</Paragraphs>
  <TotalTime>8</TotalTime>
  <ScaleCrop>false</ScaleCrop>
  <LinksUpToDate>false</LinksUpToDate>
  <CharactersWithSpaces>1227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天道酬勤</cp:lastModifiedBy>
  <cp:lastPrinted>2020-07-10T00:12:00Z</cp:lastPrinted>
  <dcterms:modified xsi:type="dcterms:W3CDTF">2021-11-09T10:55:59Z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0F418C25590648B8A326EC5962895DEB</vt:lpwstr>
  </property>
</Properties>
</file>