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42" w:leftChars="-95" w:right="-144" w:rightChars="-44" w:hanging="169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5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85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大标宋简体">
    <w:altName w:val="方正书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825CB"/>
    <w:rsid w:val="057504AF"/>
    <w:rsid w:val="1EED3112"/>
    <w:rsid w:val="2A3B78FF"/>
    <w:rsid w:val="40577934"/>
    <w:rsid w:val="4B23605D"/>
    <w:rsid w:val="65A825CB"/>
    <w:rsid w:val="6B470F18"/>
    <w:rsid w:val="6D906CB2"/>
    <w:rsid w:val="6FDFFD71"/>
    <w:rsid w:val="77DE4A71"/>
    <w:rsid w:val="79EF8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2021-03-11T17:22:00Z</dcterms:created>
  <dc:creator>阿斌</dc:creator>
  <cp:lastModifiedBy>langchao</cp:lastModifiedBy>
  <dcterms:modified xsi:type="dcterms:W3CDTF">2021-12-24T16:16:00Z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KSOSaveFontToCloudKey">
    <vt:lpwstr>601241360_embed</vt:lpwstr>
  </property>
  <property fmtid="{D5CDD505-2E9C-101B-9397-08002B2CF9AE}" pid="4" name="ICV">
    <vt:lpwstr>FFAF0DB5B2464676B19A41355220E5A8</vt:lpwstr>
  </property>
</Properties>
</file>