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井冈山市市场监督管理局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招聘岗位及任职要求</w:t>
      </w:r>
    </w:p>
    <w:tbl>
      <w:tblPr>
        <w:tblStyle w:val="5"/>
        <w:tblW w:w="9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58"/>
        <w:gridCol w:w="651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岗位序号及名称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岗位要求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0"/>
                <w:szCs w:val="30"/>
                <w:highlight w:val="none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01-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工作人员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eastAsia="zh-CN" w:bidi="ar"/>
              </w:rPr>
              <w:t>熟悉电脑操作，能熟练使用W0RD、EXCEL等办公软件，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性格沉稳，有较强的亲和力和良好的沟通能力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4.其他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岗位是行政许可服务中心窗口岗，建议女性。(在井冈山市新城区有住所，单位不提供住宿。)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1人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年龄及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资历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计算截止时间为202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年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  <w:highlight w:val="none"/>
        </w:rPr>
        <w:t>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62D069D"/>
    <w:rsid w:val="262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2024-01-18T01:37:00Z</dcterms:created>
  <dc:creator>WPS_1688689339</dc:creator>
  <cp:lastModifiedBy>WPS_1688689339</cp:lastModifiedBy>
  <dcterms:modified xsi:type="dcterms:W3CDTF">2024-01-18T01:37:34Z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0EF7D8A59BC2461BA974B59379230722_11</vt:lpwstr>
  </property>
</Properties>
</file>